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This audit assessed Meridian Logistics' vendor payment controls for the period January-December 2025. We identified three control deficiencies, one of which is rated high risk.</w:t>
      </w:r>
    </w:p>
    <w:p>
      <w:pPr>
        <w:pStyle w:val="Heading1"/>
      </w:pPr>
      <w:r>
        <w:t>Audit Scope and Objectives</w:t>
      </w:r>
    </w:p>
    <w:p>
      <w:r>
        <w:t>This audit covered the accounts payable approval workflow, vendor master file maintenance, and payment authorization controls across the finance shared services center. Out of scope: payroll and treasury functions.</w:t>
      </w:r>
    </w:p>
    <w:p>
      <w:pPr>
        <w:pStyle w:val="Heading1"/>
      </w:pPr>
      <w:r>
        <w:t>Methodology</w:t>
      </w:r>
    </w:p>
    <w:p>
      <w:r>
        <w:t>We tested a random sample of 60 vendor payments (approximately 8% of total transaction volume for the period), reviewed vendor master file change logs for the full year, and interviewed the AP approval team against the documented SOX control matrix.</w:t>
      </w:r>
    </w:p>
    <w:p>
      <w:pPr>
        <w:pStyle w:val="Heading1"/>
      </w:pPr>
      <w:r>
        <w:t>Findings</w:t>
      </w:r>
    </w:p>
    <w:p>
      <w:r>
        <w:t>Finding 1: Vendor master file changes are not consistently reviewed by a second approver. Of 25 sampled changes, 9 lacked evidence of secondary review. Risk rating: high.</w:t>
      </w:r>
    </w:p>
    <w:p>
      <w:r>
        <w:t>Finding 2: Payment approval thresholds are not enforced in the system for wire transfers over $50,000. Risk rating: medium.</w:t>
      </w:r>
    </w:p>
    <w:p>
      <w:r>
        <w:t>Finding 3: there were some issues with how invoices get processed.</w:t>
      </w:r>
    </w:p>
    <w:p>
      <w:pPr>
        <w:pStyle w:val="Heading1"/>
      </w:pPr>
      <w:r>
        <w:t>Recommendations</w:t>
      </w:r>
    </w:p>
    <w:p>
      <w:r>
        <w:t>For Finding 1, implement mandatory second-approver sign-off in the vendor master file system, with quarterly reconciliation.</w:t>
      </w:r>
    </w:p>
    <w:p>
      <w:r>
        <w:t>For Finding 2, configure the payment system to hard-block wire transfers over $50,000 without a second authorization.</w:t>
      </w:r>
    </w:p>
    <w:p>
      <w:r>
        <w:t>For Finding 3, the process should be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