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Brightline Insurance engaged us to redesign its claims intake process. Our recommended changes would cut average claims processing time from 14 days to 6 days, a 57% reduction.</w:t>
      </w:r>
    </w:p>
    <w:p>
      <w:pPr>
        <w:pStyle w:val="Heading1"/>
      </w:pPr>
      <w:r>
        <w:t>Situation and Objectives</w:t>
      </w:r>
    </w:p>
    <w:p>
      <w:r>
        <w:t>Brightline's claims intake process relies on manual document review and a legacy workflow system. Customer satisfaction scores have declined as processing times have grown. The objective of this engagement was to identify root causes of delay and recommend a redesigned process.</w:t>
      </w:r>
    </w:p>
    <w:p>
      <w:pPr>
        <w:pStyle w:val="Heading1"/>
      </w:pPr>
      <w:r>
        <w:t>Analysis</w:t>
      </w:r>
    </w:p>
    <w:p>
      <w:r>
        <w:t>We mapped the end-to-end claims process across 200 sampled claims and identified three bottlenecks: manual document classification (accounting for 4 of the 14 days), sequential rather than parallel adjuster review (3 days), and a batch-processed approval queue that only runs twice daily (adding up to 1 day of pure queue time). Based on this analysis, an automated intake and parallel-review redesign would reduce average cycle time to approximately 8 days.</w:t>
      </w:r>
    </w:p>
    <w:p>
      <w:pPr>
        <w:pStyle w:val="Heading1"/>
      </w:pPr>
      <w:r>
        <w:t>Recommendations</w:t>
      </w:r>
    </w:p>
    <w:p>
      <w:r>
        <w:t>We recommend Brightline implement automated document classification using OCR-based triage, move to parallel adjuster review for claims under $10,000, and move the approval queue to continuous processing.</w:t>
      </w:r>
    </w:p>
    <w:p>
      <w:pPr>
        <w:pStyle w:val="Heading1"/>
      </w:pPr>
      <w:r>
        <w:t>Implementation Roadmap</w:t>
      </w:r>
    </w:p>
    <w:p>
      <w:r>
        <w:t>Phase 1 (Months 1-2): deploy automated document classification. Phase 2 (Months 3-4): pilot parallel review with two adjuster teams. Phase 3 (Months 5-6): roll out continuous approval processing and retire the legacy batch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