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Summary</w:t>
      </w:r>
    </w:p>
    <w:p>
      <w:r>
        <w:t>Based on our review, Northwind Manufacturing's proposed equipment leaseback structure would generate approximately $2.4M in tax savings over the five-year lease term, driven primarily by the acceleration of depreciation deductions.</w:t>
      </w:r>
    </w:p>
    <w:p>
      <w:pPr>
        <w:pStyle w:val="Heading1"/>
      </w:pPr>
      <w:r>
        <w:t>Facts and Assumptions</w:t>
      </w:r>
    </w:p>
    <w:p>
      <w:r>
        <w:t>Northwind intends to sell manufacturing equipment with a book value of $8M to a leasing entity and lease it back over five years. We assume the leaseback qualifies as a true lease for tax purposes and that Northwind's marginal tax rate remains at 21% throughout the lease term.</w:t>
      </w:r>
    </w:p>
    <w:p>
      <w:pPr>
        <w:pStyle w:val="Heading1"/>
      </w:pPr>
      <w:r>
        <w:t>Basis of Advice</w:t>
      </w:r>
    </w:p>
    <w:p>
      <w:r>
        <w:t>This advice is based on IRC Section 168 (MACRS depreciation) and the sale-leaseback guidance in Rev. Proc. 2001-28, which sets out the factors the IRS considers in determining whether a leaseback qualifies as a true lease rather than a financing arrangement.</w:t>
      </w:r>
    </w:p>
    <w:p>
      <w:pPr>
        <w:pStyle w:val="Heading1"/>
      </w:pPr>
      <w:r>
        <w:t>Analysis</w:t>
      </w:r>
    </w:p>
    <w:p>
      <w:r>
        <w:t>Applying Rev. Proc. 2001-28's factors to Northwind's proposed structure, the arrangement should qualify as a true lease: the lease term is less than 80% of the equipment's useful life, Northwind has no fixed-price purchase option, and the leasing entity bears meaningful residual value risk. Under this structure, the projected tax benefit is $1.7M over the lease term, primarily from the leasing entity's ability to claim accelerated depreciation that is priced into the lease rate.</w:t>
      </w:r>
    </w:p>
    <w:p>
      <w:pPr>
        <w:pStyle w:val="Heading1"/>
      </w:pPr>
      <w:r>
        <w:t>Conclusion and Recommendation</w:t>
      </w:r>
    </w:p>
    <w:p>
      <w:r>
        <w:t>We recommend Northwind proceed with the sale-leaseback structure as proposed. This will definitely maximize their tax position.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