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t xml:space="preserve"/>
      </w:r>
    </w:p>
    <w:p>
      <w:pPr>
        <w:pStyle w:val="Title"/>
        <w:jc w:val="center"/>
      </w:pPr>
      <w:r>
        <w:t xml:space="preserve">Analise Roland Advisory</w:t>
      </w:r>
    </w:p>
    <w:p>
      <w:pPr>
        <w:pStyle w:val="Subtitle"/>
        <w:jc w:val="center"/>
      </w:pPr>
      <w:r>
        <w:t xml:space="preserve">Laravel Migration &amp; Server Architecture Plan</w:t>
      </w:r>
    </w:p>
    <w:p>
      <w:pPr>
        <w:spacing w:after="400"/>
      </w:pPr>
      <w:r>
        <w:t xml:space="preserve"/>
      </w:r>
    </w:p>
    <w:p>
      <w:pPr>
        <w:jc w:val="center"/>
      </w:pPr>
      <w:r>
        <w:t xml:space="preserve">Prepared for: Analise Roland Advisory — analiseroland.com</w:t>
      </w:r>
    </w:p>
    <w:p>
      <w:pPr>
        <w:jc w:val="center"/>
      </w:pPr>
      <w:r>
        <w:t xml:space="preserve">Scope: converting the static marketing homepage to a Laravel application, and a full server, security, and operations plan for the CyberPanel VPS it will run on.</w:t>
      </w:r>
    </w:p>
    <w:p>
      <w:pPr>
        <w:jc w:val="center"/>
      </w:pPr>
      <w:r>
        <w:t xml:space="preserve">Date: 22 August 2026</w:t>
      </w:r>
    </w:p>
    <w:p>
      <w:r>
        <w:br w:type="page"/>
      </w:r>
    </w:p>
    <w:p>
      <w:pPr>
        <w:pStyle w:val="Heading1"/>
      </w:pPr>
      <w:r>
        <w:t xml:space="preserve">Contents</w:t>
      </w:r>
    </w:p>
    <w:p>
      <w:pPr>
        <w:pStyle w:val="ListParagraph"/>
        <w:numPr>
          <w:ilvl w:val="0"/>
          <w:numId w:val="2"/>
        </w:numPr>
        <w:spacing w:after="60"/>
      </w:pPr>
      <w:r>
        <w:t xml:space="preserve">1. Executive Summary</w:t>
      </w:r>
    </w:p>
    <w:p>
      <w:pPr>
        <w:pStyle w:val="ListParagraph"/>
        <w:numPr>
          <w:ilvl w:val="0"/>
          <w:numId w:val="2"/>
        </w:numPr>
        <w:spacing w:after="60"/>
      </w:pPr>
      <w:r>
        <w:t xml:space="preserve">2. Scope of the Laravel Conversion</w:t>
      </w:r>
    </w:p>
    <w:p>
      <w:pPr>
        <w:pStyle w:val="ListParagraph"/>
        <w:numPr>
          <w:ilvl w:val="0"/>
          <w:numId w:val="2"/>
        </w:numPr>
        <w:spacing w:after="60"/>
      </w:pPr>
      <w:r>
        <w:t xml:space="preserve">3. High-Level Architecture</w:t>
      </w:r>
    </w:p>
    <w:p>
      <w:pPr>
        <w:pStyle w:val="ListParagraph"/>
        <w:numPr>
          <w:ilvl w:val="0"/>
          <w:numId w:val="2"/>
        </w:numPr>
        <w:spacing w:after="60"/>
      </w:pPr>
      <w:r>
        <w:t xml:space="preserve">4. Server Specification Review</w:t>
      </w:r>
    </w:p>
    <w:p>
      <w:pPr>
        <w:pStyle w:val="ListParagraph"/>
        <w:numPr>
          <w:ilvl w:val="0"/>
          <w:numId w:val="2"/>
        </w:numPr>
        <w:spacing w:after="60"/>
      </w:pPr>
      <w:r>
        <w:t xml:space="preserve">5. Base OS &amp; Initial Hardening</w:t>
      </w:r>
    </w:p>
    <w:p>
      <w:pPr>
        <w:pStyle w:val="ListParagraph"/>
        <w:numPr>
          <w:ilvl w:val="0"/>
          <w:numId w:val="2"/>
        </w:numPr>
        <w:spacing w:after="60"/>
      </w:pPr>
      <w:r>
        <w:t xml:space="preserve">6. CyberPanel Installation &amp; Site Setup</w:t>
      </w:r>
    </w:p>
    <w:p>
      <w:pPr>
        <w:pStyle w:val="ListParagraph"/>
        <w:numPr>
          <w:ilvl w:val="0"/>
          <w:numId w:val="2"/>
        </w:numPr>
        <w:spacing w:after="60"/>
      </w:pPr>
      <w:r>
        <w:t xml:space="preserve">7. CyberPanel Security Configuration</w:t>
      </w:r>
    </w:p>
    <w:p>
      <w:pPr>
        <w:pStyle w:val="ListParagraph"/>
        <w:numPr>
          <w:ilvl w:val="0"/>
          <w:numId w:val="2"/>
        </w:numPr>
        <w:spacing w:after="60"/>
      </w:pPr>
      <w:r>
        <w:t xml:space="preserve">8. Laravel Application Architecture</w:t>
      </w:r>
    </w:p>
    <w:p>
      <w:pPr>
        <w:pStyle w:val="ListParagraph"/>
        <w:numPr>
          <w:ilvl w:val="0"/>
          <w:numId w:val="2"/>
        </w:numPr>
        <w:spacing w:after="60"/>
      </w:pPr>
      <w:r>
        <w:t xml:space="preserve">9. Performance &amp; Caching Configuration</w:t>
      </w:r>
    </w:p>
    <w:p>
      <w:pPr>
        <w:pStyle w:val="ListParagraph"/>
        <w:numPr>
          <w:ilvl w:val="0"/>
          <w:numId w:val="2"/>
        </w:numPr>
        <w:spacing w:after="60"/>
      </w:pPr>
      <w:r>
        <w:t xml:space="preserve">10. Backup &amp; Disaster Recovery</w:t>
      </w:r>
    </w:p>
    <w:p>
      <w:pPr>
        <w:pStyle w:val="ListParagraph"/>
        <w:numPr>
          <w:ilvl w:val="0"/>
          <w:numId w:val="2"/>
        </w:numPr>
        <w:spacing w:after="60"/>
      </w:pPr>
      <w:r>
        <w:t xml:space="preserve">11. Monitoring &amp; Observability</w:t>
      </w:r>
    </w:p>
    <w:p>
      <w:pPr>
        <w:pStyle w:val="ListParagraph"/>
        <w:numPr>
          <w:ilvl w:val="0"/>
          <w:numId w:val="2"/>
        </w:numPr>
        <w:spacing w:after="60"/>
      </w:pPr>
      <w:r>
        <w:t xml:space="preserve">12. Deployment Pipeline (CI/CD)</w:t>
      </w:r>
    </w:p>
    <w:p>
      <w:pPr>
        <w:pStyle w:val="ListParagraph"/>
        <w:numPr>
          <w:ilvl w:val="0"/>
          <w:numId w:val="2"/>
        </w:numPr>
        <w:spacing w:after="60"/>
      </w:pPr>
      <w:r>
        <w:t xml:space="preserve">13. Domain, DNS &amp; Email Deliverability</w:t>
      </w:r>
    </w:p>
    <w:p>
      <w:pPr>
        <w:pStyle w:val="ListParagraph"/>
        <w:numPr>
          <w:ilvl w:val="0"/>
          <w:numId w:val="2"/>
        </w:numPr>
        <w:spacing w:after="60"/>
      </w:pPr>
      <w:r>
        <w:t xml:space="preserve">14. Go-Live Checklist</w:t>
      </w:r>
    </w:p>
    <w:p>
      <w:pPr>
        <w:pStyle w:val="ListParagraph"/>
        <w:numPr>
          <w:ilvl w:val="0"/>
          <w:numId w:val="2"/>
        </w:numPr>
        <w:spacing w:after="60"/>
      </w:pPr>
      <w:r>
        <w:t xml:space="preserve">15. Ongoing Maintenance Schedule</w:t>
      </w:r>
    </w:p>
    <w:p>
      <w:pPr>
        <w:pStyle w:val="ListParagraph"/>
        <w:numPr>
          <w:ilvl w:val="0"/>
          <w:numId w:val="2"/>
        </w:numPr>
        <w:spacing w:after="60"/>
      </w:pPr>
      <w:r>
        <w:t xml:space="preserve">16. Future Scaling Path</w:t>
      </w:r>
    </w:p>
    <w:p>
      <w:r>
        <w:br w:type="page"/>
      </w:r>
    </w:p>
    <w:p>
      <w:pPr>
        <w:pStyle w:val="Heading1"/>
        <w:keepNext/>
      </w:pPr>
      <w:r>
        <w:t xml:space="preserve">1. Executive Summary</w:t>
      </w:r>
    </w:p>
    <w:p>
      <w:r>
        <w:t xml:space="preserve">The current site is a static, hand-built single-page homepage (HTML/CSS/JS, no backend). It does its job as a conversion-focused landing page, but three things in the original brief can't be done with static files: a lead form that actually stores and routes submissions, password-gated pricing pages that are shareable-but-not-public, and simple content editing (testimonials, case studies) without touching code. Laravel solves all three.</w:t>
      </w:r>
    </w:p>
    <w:p>
      <w:r>
        <w:t xml:space="preserve">This document covers two things: (1) how the static site maps onto a Laravel application, and (2) how to provision, secure, and operate the VPS it will run on, using CyberPanel as the control panel. The server spec supplied is 4 vCPU / 8 GB RAM / 100 GB SSD / 1 snapshot / 200 Mbit/s port / unlimited traffic — Section 4 sizes the plan against those numbers directly.</w:t>
      </w:r>
    </w:p>
    <w:p>
      <w:pPr>
        <w:pStyle w:val="Heading1"/>
        <w:keepNext/>
      </w:pPr>
      <w:r>
        <w:t xml:space="preserve">2. Scope of the Laravel Conversion</w:t>
      </w:r>
    </w:p>
    <w:tbl>
      <w:tblPr>
        <w:tblStyle w:val="PlanTable"/>
        <w:tblW w:w="936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CellMar>
          <w:top w:w="80" w:type="dxa"/>
          <w:left w:w="120" w:type="dxa"/>
          <w:bottom w:w="80" w:type="dxa"/>
          <w:right w:w="120" w:type="dxa"/>
        </w:tblCellMar>
      </w:tblPr>
      <w:tblGrid>
        <w:gridCol w:w="3200"/>
        <w:gridCol w:w="6160"/>
      </w:tblGrid>
      <w:tr>
        <w:tc>
          <w:tcPr>
            <w:tcW w:w="3200" w:type="dxa"/>
            <w:shd w:val="clear" w:color="auto" w:fill="1F3864"/>
            <w:vAlign w:val="center"/>
          </w:tcPr>
          <w:p>
            <w:pPr>
              <w:spacing w:after="0"/>
            </w:pPr>
            <w:r>
              <w:rPr>
                <w:b/>
                <w:color w:val="FFFFFF"/>
                <w:sz w:val="20"/>
                <w:szCs w:val="20"/>
              </w:rPr>
              <w:t xml:space="preserve">Static site today</w:t>
            </w:r>
          </w:p>
        </w:tc>
        <w:tc>
          <w:tcPr>
            <w:tcW w:w="6160" w:type="dxa"/>
            <w:shd w:val="clear" w:color="auto" w:fill="1F3864"/>
            <w:vAlign w:val="center"/>
          </w:tcPr>
          <w:p>
            <w:pPr>
              <w:spacing w:after="0"/>
            </w:pPr>
            <w:r>
              <w:rPr>
                <w:b/>
                <w:color w:val="FFFFFF"/>
                <w:sz w:val="20"/>
                <w:szCs w:val="20"/>
              </w:rPr>
              <w:t xml:space="preserve">Laravel equivalent</w:t>
            </w:r>
          </w:p>
        </w:tc>
      </w:tr>
      <w:tr>
        <w:tc>
          <w:tcPr>
            <w:tcW w:w="3200" w:type="dxa"/>
            <w:vAlign w:val="center"/>
          </w:tcPr>
          <w:p>
            <w:pPr>
              <w:spacing w:after="0"/>
            </w:pPr>
            <w:r>
              <w:rPr>
                <w:b/>
                <w:color w:val="2B2620"/>
                <w:sz w:val="20"/>
                <w:szCs w:val="20"/>
              </w:rPr>
              <w:t xml:space="preserve">Hero, services, approach, testimonial, footer — hand-written HTML in index.html</w:t>
            </w:r>
          </w:p>
        </w:tc>
        <w:tc>
          <w:tcPr>
            <w:tcW w:w="6160" w:type="dxa"/>
            <w:vAlign w:val="center"/>
          </w:tcPr>
          <w:p>
            <w:pPr>
              <w:spacing w:after="0"/>
            </w:pPr>
            <w:r>
              <w:rPr>
                <w:color w:val="2B2620"/>
                <w:sz w:val="20"/>
                <w:szCs w:val="20"/>
              </w:rPr>
              <w:t xml:space="preserve">Blade views/components under resources/views; same markup, same CSS/JS, now server-rendered</w:t>
            </w:r>
          </w:p>
        </w:tc>
      </w:tr>
      <w:tr>
        <w:tc>
          <w:tcPr>
            <w:tcW w:w="3200" w:type="dxa"/>
            <w:vAlign w:val="center"/>
          </w:tcPr>
          <w:p>
            <w:pPr>
              <w:spacing w:after="0"/>
            </w:pPr>
            <w:r>
              <w:rPr>
                <w:b/>
                <w:color w:val="2B2620"/>
                <w:sz w:val="20"/>
                <w:szCs w:val="20"/>
              </w:rPr>
              <w:t xml:space="preserve">Lead form validates in the browser only; nothing is stored or sent</w:t>
            </w:r>
          </w:p>
        </w:tc>
        <w:tc>
          <w:tcPr>
            <w:tcW w:w="6160" w:type="dxa"/>
            <w:vAlign w:val="center"/>
          </w:tcPr>
          <w:p>
            <w:pPr>
              <w:spacing w:after="0"/>
            </w:pPr>
            <w:r>
              <w:rPr>
                <w:color w:val="2B2620"/>
                <w:sz w:val="20"/>
                <w:szCs w:val="20"/>
              </w:rPr>
              <w:t xml:space="preserve">LeadController + FormRequest → Lead model → queued email to Analise/Kelsey + queued autoresponder</w:t>
            </w:r>
          </w:p>
        </w:tc>
      </w:tr>
      <w:tr>
        <w:tc>
          <w:tcPr>
            <w:tcW w:w="3200" w:type="dxa"/>
            <w:vAlign w:val="center"/>
          </w:tcPr>
          <w:p>
            <w:pPr>
              <w:spacing w:after="0"/>
            </w:pPr>
            <w:r>
              <w:rPr>
                <w:b/>
                <w:color w:val="2B2620"/>
                <w:sz w:val="20"/>
                <w:szCs w:val="20"/>
              </w:rPr>
              <w:t xml:space="preserve">Testimonial and pricing text are hard-coded</w:t>
            </w:r>
          </w:p>
        </w:tc>
        <w:tc>
          <w:tcPr>
            <w:tcW w:w="6160" w:type="dxa"/>
            <w:vAlign w:val="center"/>
          </w:tcPr>
          <w:p>
            <w:pPr>
              <w:spacing w:after="0"/>
            </w:pPr>
            <w:r>
              <w:rPr>
                <w:color w:val="2B2620"/>
                <w:sz w:val="20"/>
                <w:szCs w:val="20"/>
              </w:rPr>
              <w:t xml:space="preserve">Database-backed (testimonials, case_studies, pricing_tiers tables), editable through an admin panel</w:t>
            </w:r>
          </w:p>
        </w:tc>
      </w:tr>
      <w:tr>
        <w:tc>
          <w:tcPr>
            <w:tcW w:w="3200" w:type="dxa"/>
            <w:vAlign w:val="center"/>
          </w:tcPr>
          <w:p>
            <w:pPr>
              <w:spacing w:after="0"/>
            </w:pPr>
            <w:r>
              <w:rPr>
                <w:b/>
                <w:color w:val="2B2620"/>
                <w:sz w:val="20"/>
                <w:szCs w:val="20"/>
              </w:rPr>
              <w:t xml:space="preserve">Password-gated pricing pages — specified in the brief, not built yet</w:t>
            </w:r>
          </w:p>
        </w:tc>
        <w:tc>
          <w:tcPr>
            <w:tcW w:w="6160" w:type="dxa"/>
            <w:vAlign w:val="center"/>
          </w:tcPr>
          <w:p>
            <w:pPr>
              <w:spacing w:after="0"/>
            </w:pPr>
            <w:r>
              <w:rPr>
                <w:color w:val="2B2620"/>
                <w:sz w:val="20"/>
                <w:szCs w:val="20"/>
              </w:rPr>
              <w:t xml:space="preserve">Signed, time-limited URLs per prospect (Section 8), noindex'd, revocable</w:t>
            </w:r>
          </w:p>
        </w:tc>
      </w:tr>
      <w:tr>
        <w:tc>
          <w:tcPr>
            <w:tcW w:w="3200" w:type="dxa"/>
            <w:vAlign w:val="center"/>
          </w:tcPr>
          <w:p>
            <w:pPr>
              <w:spacing w:after="0"/>
            </w:pPr>
            <w:r>
              <w:rPr>
                <w:b/>
                <w:color w:val="2B2620"/>
                <w:sz w:val="20"/>
                <w:szCs w:val="20"/>
              </w:rPr>
              <w:t xml:space="preserve">No way for Analise or Kelsey to update content without a developer</w:t>
            </w:r>
          </w:p>
        </w:tc>
        <w:tc>
          <w:tcPr>
            <w:tcW w:w="6160" w:type="dxa"/>
            <w:vAlign w:val="center"/>
          </w:tcPr>
          <w:p>
            <w:pPr>
              <w:spacing w:after="0"/>
            </w:pPr>
            <w:r>
              <w:rPr>
                <w:color w:val="2B2620"/>
                <w:sz w:val="20"/>
                <w:szCs w:val="20"/>
              </w:rPr>
              <w:t xml:space="preserve">Filament admin panel (Section 8) for leads inbox, testimonials, case studies, pricing tiers</w:t>
            </w:r>
          </w:p>
        </w:tc>
      </w:tr>
    </w:tbl>
    <w:p>
      <w:pPr>
        <w:spacing w:after="160"/>
      </w:pPr>
      <w:r>
        <w:t xml:space="preserve"/>
      </w:r>
    </w:p>
    <w:p>
      <w:r>
        <w:t xml:space="preserve">Everything else — the animation system, the type and color palette, the copy — carries over unchanged. This is a backend underneath the existing front end, not a redesign.</w:t>
      </w:r>
    </w:p>
    <w:p>
      <w:pPr>
        <w:pStyle w:val="Heading1"/>
        <w:keepNext/>
      </w:pPr>
      <w:r>
        <w:t xml:space="preserve">3. High-Level Architecture</w:t>
      </w:r>
    </w:p>
    <w:tbl>
      <w:tblPr>
        <w:tblStyle w:val="PlanTable"/>
        <w:tblW w:w="936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CellMar>
          <w:top w:w="80" w:type="dxa"/>
          <w:left w:w="120" w:type="dxa"/>
          <w:bottom w:w="80" w:type="dxa"/>
          <w:right w:w="120" w:type="dxa"/>
        </w:tblCellMar>
      </w:tblPr>
      <w:tblGrid>
        <w:gridCol w:w="1500"/>
        <w:gridCol w:w="3100"/>
        <w:gridCol w:w="4760"/>
      </w:tblGrid>
      <w:tr>
        <w:tc>
          <w:tcPr>
            <w:tcW w:w="1500" w:type="dxa"/>
            <w:shd w:val="clear" w:color="auto" w:fill="1F3864"/>
            <w:vAlign w:val="center"/>
          </w:tcPr>
          <w:p>
            <w:pPr>
              <w:spacing w:after="0"/>
            </w:pPr>
            <w:r>
              <w:rPr>
                <w:b/>
                <w:color w:val="FFFFFF"/>
                <w:sz w:val="20"/>
                <w:szCs w:val="20"/>
              </w:rPr>
              <w:t xml:space="preserve">Layer</w:t>
            </w:r>
          </w:p>
        </w:tc>
        <w:tc>
          <w:tcPr>
            <w:tcW w:w="3100" w:type="dxa"/>
            <w:shd w:val="clear" w:color="auto" w:fill="1F3864"/>
            <w:vAlign w:val="center"/>
          </w:tcPr>
          <w:p>
            <w:pPr>
              <w:spacing w:after="0"/>
            </w:pPr>
            <w:r>
              <w:rPr>
                <w:b/>
                <w:color w:val="FFFFFF"/>
                <w:sz w:val="20"/>
                <w:szCs w:val="20"/>
              </w:rPr>
              <w:t xml:space="preserve">Component</w:t>
            </w:r>
          </w:p>
        </w:tc>
        <w:tc>
          <w:tcPr>
            <w:tcW w:w="4760" w:type="dxa"/>
            <w:shd w:val="clear" w:color="auto" w:fill="1F3864"/>
            <w:vAlign w:val="center"/>
          </w:tcPr>
          <w:p>
            <w:pPr>
              <w:spacing w:after="0"/>
            </w:pPr>
            <w:r>
              <w:rPr>
                <w:b/>
                <w:color w:val="FFFFFF"/>
                <w:sz w:val="20"/>
                <w:szCs w:val="20"/>
              </w:rPr>
              <w:t xml:space="preserve">Role</w:t>
            </w:r>
          </w:p>
        </w:tc>
      </w:tr>
      <w:tr>
        <w:tc>
          <w:tcPr>
            <w:tcW w:w="1500" w:type="dxa"/>
            <w:vAlign w:val="center"/>
          </w:tcPr>
          <w:p>
            <w:pPr>
              <w:spacing w:after="0"/>
            </w:pPr>
            <w:r>
              <w:rPr>
                <w:b/>
                <w:color w:val="2B2620"/>
                <w:sz w:val="20"/>
                <w:szCs w:val="20"/>
              </w:rPr>
              <w:t xml:space="preserve">Edge</w:t>
            </w:r>
          </w:p>
        </w:tc>
        <w:tc>
          <w:tcPr>
            <w:tcW w:w="3100" w:type="dxa"/>
            <w:vAlign w:val="center"/>
          </w:tcPr>
          <w:p>
            <w:pPr>
              <w:spacing w:after="0"/>
            </w:pPr>
            <w:r>
              <w:rPr>
                <w:color w:val="2B2620"/>
                <w:sz w:val="20"/>
                <w:szCs w:val="20"/>
              </w:rPr>
              <w:t xml:space="preserve">Cloudflare (DNS, proxied)</w:t>
            </w:r>
          </w:p>
        </w:tc>
        <w:tc>
          <w:tcPr>
            <w:tcW w:w="4760" w:type="dxa"/>
            <w:vAlign w:val="center"/>
          </w:tcPr>
          <w:p>
            <w:pPr>
              <w:spacing w:after="0"/>
            </w:pPr>
            <w:r>
              <w:rPr>
                <w:color w:val="2B2620"/>
                <w:sz w:val="20"/>
                <w:szCs w:val="20"/>
              </w:rPr>
              <w:t xml:space="preserve">TLS termination at the edge, CDN for static assets, WAF + DDoS absorption before traffic reaches the VPS</w:t>
            </w:r>
          </w:p>
        </w:tc>
      </w:tr>
      <w:tr>
        <w:tc>
          <w:tcPr>
            <w:tcW w:w="1500" w:type="dxa"/>
            <w:vAlign w:val="center"/>
          </w:tcPr>
          <w:p>
            <w:pPr>
              <w:spacing w:after="0"/>
            </w:pPr>
            <w:r>
              <w:rPr>
                <w:b/>
                <w:color w:val="2B2620"/>
                <w:sz w:val="20"/>
                <w:szCs w:val="20"/>
              </w:rPr>
              <w:t xml:space="preserve">Panel / web server</w:t>
            </w:r>
          </w:p>
        </w:tc>
        <w:tc>
          <w:tcPr>
            <w:tcW w:w="3100" w:type="dxa"/>
            <w:vAlign w:val="center"/>
          </w:tcPr>
          <w:p>
            <w:pPr>
              <w:spacing w:after="0"/>
            </w:pPr>
            <w:r>
              <w:rPr>
                <w:color w:val="2B2620"/>
                <w:sz w:val="20"/>
                <w:szCs w:val="20"/>
              </w:rPr>
              <w:t xml:space="preserve">CyberPanel + OpenLiteSpeed</w:t>
            </w:r>
          </w:p>
        </w:tc>
        <w:tc>
          <w:tcPr>
            <w:tcW w:w="4760" w:type="dxa"/>
            <w:vAlign w:val="center"/>
          </w:tcPr>
          <w:p>
            <w:pPr>
              <w:spacing w:after="0"/>
            </w:pPr>
            <w:r>
              <w:rPr>
                <w:color w:val="2B2620"/>
                <w:sz w:val="20"/>
                <w:szCs w:val="20"/>
              </w:rPr>
              <w:t xml:space="preserve">Virtual host routing, TLS to origin, ModSecurity WAF, per-site PHP-FPM pools</w:t>
            </w:r>
          </w:p>
        </w:tc>
      </w:tr>
      <w:tr>
        <w:tc>
          <w:tcPr>
            <w:tcW w:w="1500" w:type="dxa"/>
            <w:vAlign w:val="center"/>
          </w:tcPr>
          <w:p>
            <w:pPr>
              <w:spacing w:after="0"/>
            </w:pPr>
            <w:r>
              <w:rPr>
                <w:b/>
                <w:color w:val="2B2620"/>
                <w:sz w:val="20"/>
                <w:szCs w:val="20"/>
              </w:rPr>
              <w:t xml:space="preserve">Application</w:t>
            </w:r>
          </w:p>
        </w:tc>
        <w:tc>
          <w:tcPr>
            <w:tcW w:w="3100" w:type="dxa"/>
            <w:vAlign w:val="center"/>
          </w:tcPr>
          <w:p>
            <w:pPr>
              <w:spacing w:after="0"/>
            </w:pPr>
            <w:r>
              <w:rPr>
                <w:color w:val="2B2620"/>
                <w:sz w:val="20"/>
                <w:szCs w:val="20"/>
              </w:rPr>
              <w:t xml:space="preserve">Laravel 11 on PHP 8.3-FPM</w:t>
            </w:r>
          </w:p>
        </w:tc>
        <w:tc>
          <w:tcPr>
            <w:tcW w:w="4760" w:type="dxa"/>
            <w:vAlign w:val="center"/>
          </w:tcPr>
          <w:p>
            <w:pPr>
              <w:spacing w:after="0"/>
            </w:pPr>
            <w:r>
              <w:rPr>
                <w:color w:val="2B2620"/>
                <w:sz w:val="20"/>
                <w:szCs w:val="20"/>
              </w:rPr>
              <w:t xml:space="preserve">Routing, validation, Blade rendering, Filament admin</w:t>
            </w:r>
          </w:p>
        </w:tc>
      </w:tr>
      <w:tr>
        <w:tc>
          <w:tcPr>
            <w:tcW w:w="1500" w:type="dxa"/>
            <w:vAlign w:val="center"/>
          </w:tcPr>
          <w:p>
            <w:pPr>
              <w:spacing w:after="0"/>
            </w:pPr>
            <w:r>
              <w:rPr>
                <w:b/>
                <w:color w:val="2B2620"/>
                <w:sz w:val="20"/>
                <w:szCs w:val="20"/>
              </w:rPr>
              <w:t xml:space="preserve">Data</w:t>
            </w:r>
          </w:p>
        </w:tc>
        <w:tc>
          <w:tcPr>
            <w:tcW w:w="3100" w:type="dxa"/>
            <w:vAlign w:val="center"/>
          </w:tcPr>
          <w:p>
            <w:pPr>
              <w:spacing w:after="0"/>
            </w:pPr>
            <w:r>
              <w:rPr>
                <w:color w:val="2B2620"/>
                <w:sz w:val="20"/>
                <w:szCs w:val="20"/>
              </w:rPr>
              <w:t xml:space="preserve">MariaDB 10.11</w:t>
            </w:r>
          </w:p>
        </w:tc>
        <w:tc>
          <w:tcPr>
            <w:tcW w:w="4760" w:type="dxa"/>
            <w:vAlign w:val="center"/>
          </w:tcPr>
          <w:p>
            <w:pPr>
              <w:spacing w:after="0"/>
            </w:pPr>
            <w:r>
              <w:rPr>
                <w:color w:val="2B2620"/>
                <w:sz w:val="20"/>
                <w:szCs w:val="20"/>
              </w:rPr>
              <w:t xml:space="preserve">Leads, testimonials, case studies, pricing tiers, admin users</w:t>
            </w:r>
          </w:p>
        </w:tc>
      </w:tr>
      <w:tr>
        <w:tc>
          <w:tcPr>
            <w:tcW w:w="1500" w:type="dxa"/>
            <w:vAlign w:val="center"/>
          </w:tcPr>
          <w:p>
            <w:pPr>
              <w:spacing w:after="0"/>
            </w:pPr>
            <w:r>
              <w:rPr>
                <w:b/>
                <w:color w:val="2B2620"/>
                <w:sz w:val="20"/>
                <w:szCs w:val="20"/>
              </w:rPr>
              <w:t xml:space="preserve">Cache / queue</w:t>
            </w:r>
          </w:p>
        </w:tc>
        <w:tc>
          <w:tcPr>
            <w:tcW w:w="3100" w:type="dxa"/>
            <w:vAlign w:val="center"/>
          </w:tcPr>
          <w:p>
            <w:pPr>
              <w:spacing w:after="0"/>
            </w:pPr>
            <w:r>
              <w:rPr>
                <w:color w:val="2B2620"/>
                <w:sz w:val="20"/>
                <w:szCs w:val="20"/>
              </w:rPr>
              <w:t xml:space="preserve">Redis 7</w:t>
            </w:r>
          </w:p>
        </w:tc>
        <w:tc>
          <w:tcPr>
            <w:tcW w:w="4760" w:type="dxa"/>
            <w:vAlign w:val="center"/>
          </w:tcPr>
          <w:p>
            <w:pPr>
              <w:spacing w:after="0"/>
            </w:pPr>
            <w:r>
              <w:rPr>
                <w:color w:val="2B2620"/>
                <w:sz w:val="20"/>
                <w:szCs w:val="20"/>
              </w:rPr>
              <w:t xml:space="preserve">Config &amp; view cache, sessions, queued mail jobs</w:t>
            </w:r>
          </w:p>
        </w:tc>
      </w:tr>
      <w:tr>
        <w:tc>
          <w:tcPr>
            <w:tcW w:w="1500" w:type="dxa"/>
            <w:vAlign w:val="center"/>
          </w:tcPr>
          <w:p>
            <w:pPr>
              <w:spacing w:after="0"/>
            </w:pPr>
            <w:r>
              <w:rPr>
                <w:b/>
                <w:color w:val="2B2620"/>
                <w:sz w:val="20"/>
                <w:szCs w:val="20"/>
              </w:rPr>
              <w:t xml:space="preserve">Background work</w:t>
            </w:r>
          </w:p>
        </w:tc>
        <w:tc>
          <w:tcPr>
            <w:tcW w:w="3100" w:type="dxa"/>
            <w:vAlign w:val="center"/>
          </w:tcPr>
          <w:p>
            <w:pPr>
              <w:spacing w:after="0"/>
            </w:pPr>
            <w:r>
              <w:rPr>
                <w:color w:val="2B2620"/>
                <w:sz w:val="20"/>
                <w:szCs w:val="20"/>
              </w:rPr>
              <w:t xml:space="preserve">Supervisor-managed queue worker</w:t>
            </w:r>
          </w:p>
        </w:tc>
        <w:tc>
          <w:tcPr>
            <w:tcW w:w="4760" w:type="dxa"/>
            <w:vAlign w:val="center"/>
          </w:tcPr>
          <w:p>
            <w:pPr>
              <w:spacing w:after="0"/>
            </w:pPr>
            <w:r>
              <w:rPr>
                <w:color w:val="2B2620"/>
                <w:sz w:val="20"/>
                <w:szCs w:val="20"/>
              </w:rPr>
              <w:t xml:space="preserve">Sends lead notification + autoresponder emails without blocking the request</w:t>
            </w:r>
          </w:p>
        </w:tc>
      </w:tr>
      <w:tr>
        <w:tc>
          <w:tcPr>
            <w:tcW w:w="1500" w:type="dxa"/>
            <w:vAlign w:val="center"/>
          </w:tcPr>
          <w:p>
            <w:pPr>
              <w:spacing w:after="0"/>
            </w:pPr>
            <w:r>
              <w:rPr>
                <w:b/>
                <w:color w:val="2B2620"/>
                <w:sz w:val="20"/>
                <w:szCs w:val="20"/>
              </w:rPr>
              <w:t xml:space="preserve">Outbound email</w:t>
            </w:r>
          </w:p>
        </w:tc>
        <w:tc>
          <w:tcPr>
            <w:tcW w:w="3100" w:type="dxa"/>
            <w:vAlign w:val="center"/>
          </w:tcPr>
          <w:p>
            <w:pPr>
              <w:spacing w:after="0"/>
            </w:pPr>
            <w:r>
              <w:rPr>
                <w:color w:val="2B2620"/>
                <w:sz w:val="20"/>
                <w:szCs w:val="20"/>
              </w:rPr>
              <w:t xml:space="preserve">Postmark or Amazon SES (not self-hosted)</w:t>
            </w:r>
          </w:p>
        </w:tc>
        <w:tc>
          <w:tcPr>
            <w:tcW w:w="4760" w:type="dxa"/>
            <w:vAlign w:val="center"/>
          </w:tcPr>
          <w:p>
            <w:pPr>
              <w:spacing w:after="0"/>
            </w:pPr>
            <w:r>
              <w:rPr>
                <w:color w:val="2B2620"/>
                <w:sz w:val="20"/>
                <w:szCs w:val="20"/>
              </w:rPr>
              <w:t xml:space="preserve">Deliverability for lead notifications and autoresponders — see Section 13</w:t>
            </w:r>
          </w:p>
        </w:tc>
      </w:tr>
    </w:tbl>
    <w:p>
      <w:pPr>
        <w:spacing w:after="160"/>
      </w:pPr>
      <w:r>
        <w:t xml:space="preserve"/>
      </w:r>
    </w:p>
    <w:p>
      <w:pPr>
        <w:pStyle w:val="Heading1"/>
        <w:keepNext/>
      </w:pPr>
      <w:r>
        <w:t xml:space="preserve">4. Server Specification Review</w:t>
      </w:r>
    </w:p>
    <w:p>
      <w:r>
        <w:t xml:space="preserve">The specs supplied, assessed against what this site will actually do:</w:t>
      </w:r>
    </w:p>
    <w:tbl>
      <w:tblPr>
        <w:tblStyle w:val="PlanTable"/>
        <w:tblW w:w="936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CellMar>
          <w:top w:w="80" w:type="dxa"/>
          <w:left w:w="120" w:type="dxa"/>
          <w:bottom w:w="80" w:type="dxa"/>
          <w:right w:w="120" w:type="dxa"/>
        </w:tblCellMar>
      </w:tblPr>
      <w:tblGrid>
        <w:gridCol w:w="1900"/>
        <w:gridCol w:w="7460"/>
      </w:tblGrid>
      <w:tr>
        <w:tc>
          <w:tcPr>
            <w:tcW w:w="1900" w:type="dxa"/>
            <w:shd w:val="clear" w:color="auto" w:fill="1F3864"/>
            <w:vAlign w:val="center"/>
          </w:tcPr>
          <w:p>
            <w:pPr>
              <w:spacing w:after="0"/>
            </w:pPr>
            <w:r>
              <w:rPr>
                <w:b/>
                <w:color w:val="FFFFFF"/>
                <w:sz w:val="20"/>
                <w:szCs w:val="20"/>
              </w:rPr>
              <w:t xml:space="preserve">Spec</w:t>
            </w:r>
          </w:p>
        </w:tc>
        <w:tc>
          <w:tcPr>
            <w:tcW w:w="7460" w:type="dxa"/>
            <w:shd w:val="clear" w:color="auto" w:fill="1F3864"/>
            <w:vAlign w:val="center"/>
          </w:tcPr>
          <w:p>
            <w:pPr>
              <w:spacing w:after="0"/>
            </w:pPr>
            <w:r>
              <w:rPr>
                <w:b/>
                <w:color w:val="FFFFFF"/>
                <w:sz w:val="20"/>
                <w:szCs w:val="20"/>
              </w:rPr>
              <w:t xml:space="preserve">Assessment</w:t>
            </w:r>
          </w:p>
        </w:tc>
      </w:tr>
      <w:tr>
        <w:tc>
          <w:tcPr>
            <w:tcW w:w="1900" w:type="dxa"/>
            <w:vAlign w:val="center"/>
          </w:tcPr>
          <w:p>
            <w:pPr>
              <w:spacing w:after="0"/>
            </w:pPr>
            <w:r>
              <w:rPr>
                <w:b/>
                <w:color w:val="2B2620"/>
                <w:sz w:val="20"/>
                <w:szCs w:val="20"/>
              </w:rPr>
              <w:t xml:space="preserve">4 vCPU</w:t>
            </w:r>
          </w:p>
        </w:tc>
        <w:tc>
          <w:tcPr>
            <w:tcW w:w="7460" w:type="dxa"/>
            <w:vAlign w:val="center"/>
          </w:tcPr>
          <w:p>
            <w:pPr>
              <w:spacing w:after="0"/>
            </w:pPr>
            <w:r>
              <w:rPr>
                <w:color w:val="2B2620"/>
                <w:sz w:val="20"/>
                <w:szCs w:val="20"/>
              </w:rPr>
              <w:t xml:space="preserve">Comfortable for PHP-FPM + MariaDB + Redis running concurrently at this traffic tier. A lead-generation site is bound by lead volume, not visitor count — this won't be CPU-bound.</w:t>
            </w:r>
          </w:p>
        </w:tc>
      </w:tr>
      <w:tr>
        <w:tc>
          <w:tcPr>
            <w:tcW w:w="1900" w:type="dxa"/>
            <w:vAlign w:val="center"/>
          </w:tcPr>
          <w:p>
            <w:pPr>
              <w:spacing w:after="0"/>
            </w:pPr>
            <w:r>
              <w:rPr>
                <w:b/>
                <w:color w:val="2B2620"/>
                <w:sz w:val="20"/>
                <w:szCs w:val="20"/>
              </w:rPr>
              <w:t xml:space="preserve">8 GB RAM</w:t>
            </w:r>
          </w:p>
        </w:tc>
        <w:tc>
          <w:tcPr>
            <w:tcW w:w="7460" w:type="dxa"/>
            <w:vAlign w:val="center"/>
          </w:tcPr>
          <w:p>
            <w:pPr>
              <w:spacing w:after="0"/>
            </w:pPr>
            <w:r>
              <w:rPr>
                <w:color w:val="2B2620"/>
                <w:sz w:val="20"/>
                <w:szCs w:val="20"/>
              </w:rPr>
              <w:t xml:space="preserve">~2.5 GB reserved for OS, CyberPanel, MariaDB, and Redis; ~5.5 GB left for PHP-FPM leaves room for roughly 60 concurrent PHP workers (math in Section 9). Generous headroom.</w:t>
            </w:r>
          </w:p>
        </w:tc>
      </w:tr>
      <w:tr>
        <w:tc>
          <w:tcPr>
            <w:tcW w:w="1900" w:type="dxa"/>
            <w:vAlign w:val="center"/>
          </w:tcPr>
          <w:p>
            <w:pPr>
              <w:spacing w:after="0"/>
            </w:pPr>
            <w:r>
              <w:rPr>
                <w:b/>
                <w:color w:val="2B2620"/>
                <w:sz w:val="20"/>
                <w:szCs w:val="20"/>
              </w:rPr>
              <w:t xml:space="preserve">100 GB SSD</w:t>
            </w:r>
          </w:p>
        </w:tc>
        <w:tc>
          <w:tcPr>
            <w:tcW w:w="7460" w:type="dxa"/>
            <w:vAlign w:val="center"/>
          </w:tcPr>
          <w:p>
            <w:pPr>
              <w:spacing w:after="0"/>
            </w:pPr>
            <w:r>
              <w:rPr>
                <w:color w:val="2B2620"/>
                <w:sz w:val="20"/>
                <w:szCs w:val="20"/>
              </w:rPr>
              <w:t xml:space="preserve">The app, its assets, the database, and weeks of local backups will realistically total well under 10 GB. Excess capacity should go toward longer local backup retention.</w:t>
            </w:r>
          </w:p>
        </w:tc>
      </w:tr>
      <w:tr>
        <w:tc>
          <w:tcPr>
            <w:tcW w:w="1900" w:type="dxa"/>
            <w:vAlign w:val="center"/>
          </w:tcPr>
          <w:p>
            <w:pPr>
              <w:spacing w:after="0"/>
            </w:pPr>
            <w:r>
              <w:rPr>
                <w:b/>
                <w:color w:val="2B2620"/>
                <w:sz w:val="20"/>
                <w:szCs w:val="20"/>
              </w:rPr>
              <w:t xml:space="preserve">1 snapshot</w:t>
            </w:r>
          </w:p>
        </w:tc>
        <w:tc>
          <w:tcPr>
            <w:tcW w:w="7460" w:type="dxa"/>
            <w:vAlign w:val="center"/>
          </w:tcPr>
          <w:p>
            <w:pPr>
              <w:spacing w:after="0"/>
            </w:pPr>
            <w:r>
              <w:rPr>
                <w:color w:val="2B2620"/>
                <w:sz w:val="20"/>
                <w:szCs w:val="20"/>
              </w:rPr>
              <w:t xml:space="preserve">Useful as a pre-deploy safety net ("undo this VPS" button), not a backup strategy. Pair it with the scheduled, offsite backups in Section 10 — a snapshot living on the same host doesn't survive a host-level failure.</w:t>
            </w:r>
          </w:p>
        </w:tc>
      </w:tr>
      <w:tr>
        <w:tc>
          <w:tcPr>
            <w:tcW w:w="1900" w:type="dxa"/>
            <w:vAlign w:val="center"/>
          </w:tcPr>
          <w:p>
            <w:pPr>
              <w:spacing w:after="0"/>
            </w:pPr>
            <w:r>
              <w:rPr>
                <w:b/>
                <w:color w:val="2B2620"/>
                <w:sz w:val="20"/>
                <w:szCs w:val="20"/>
              </w:rPr>
              <w:t xml:space="preserve">200 Mbit/s port</w:t>
            </w:r>
          </w:p>
        </w:tc>
        <w:tc>
          <w:tcPr>
            <w:tcW w:w="7460" w:type="dxa"/>
            <w:vAlign w:val="center"/>
          </w:tcPr>
          <w:p>
            <w:pPr>
              <w:spacing w:after="0"/>
            </w:pPr>
            <w:r>
              <w:rPr>
                <w:color w:val="2B2620"/>
                <w:sz w:val="20"/>
                <w:szCs w:val="20"/>
              </w:rPr>
              <w:t xml:space="preserve">Far more than a lead-gen marketing site needs, even with image-heavy case study pages. Won't be the bottleneck.</w:t>
            </w:r>
          </w:p>
        </w:tc>
      </w:tr>
      <w:tr>
        <w:tc>
          <w:tcPr>
            <w:tcW w:w="1900" w:type="dxa"/>
            <w:vAlign w:val="center"/>
          </w:tcPr>
          <w:p>
            <w:pPr>
              <w:spacing w:after="0"/>
            </w:pPr>
            <w:r>
              <w:rPr>
                <w:b/>
                <w:color w:val="2B2620"/>
                <w:sz w:val="20"/>
                <w:szCs w:val="20"/>
              </w:rPr>
              <w:t xml:space="preserve">Unlimited traffic</w:t>
            </w:r>
          </w:p>
        </w:tc>
        <w:tc>
          <w:tcPr>
            <w:tcW w:w="7460" w:type="dxa"/>
            <w:vAlign w:val="center"/>
          </w:tcPr>
          <w:p>
            <w:pPr>
              <w:spacing w:after="0"/>
            </w:pPr>
            <w:r>
              <w:rPr>
                <w:color w:val="2B2620"/>
                <w:sz w:val="20"/>
                <w:szCs w:val="20"/>
              </w:rPr>
              <w:t xml:space="preserve">No bandwidth-based cost or throttling concern.</w:t>
            </w:r>
          </w:p>
        </w:tc>
      </w:tr>
    </w:tbl>
    <w:p>
      <w:pPr>
        <w:spacing w:after="160"/>
      </w:pPr>
      <w:r>
        <w:t xml:space="preserve"/>
      </w:r>
    </w:p>
    <w:p>
      <w:r>
        <w:t xml:space="preserve">Net assessment: this box is oversized for the traffic the site will see. The right move is to spend that headroom on defense-in-depth — WAF, monitoring, backups, a real staging step — rather than on raw scaling the site doesn't need yet.</w:t>
      </w:r>
    </w:p>
    <w:p>
      <w:pPr>
        <w:pStyle w:val="Heading1"/>
        <w:keepNext/>
      </w:pPr>
      <w:r>
        <w:t xml:space="preserve">5. Base OS &amp; Initial Hardening</w:t>
      </w:r>
    </w:p>
    <w:p>
      <w:r>
        <w:t xml:space="preserve">Recommended OS: Ubuntu 22.04 LTS — CyberPanel's best-supported base.</w:t>
      </w:r>
    </w:p>
    <w:p>
      <w:pPr>
        <w:spacing w:after="80"/>
      </w:pPr>
      <w:r>
        <w:t xml:space="preserve">Before installing CyberPanel:</w:t>
      </w:r>
    </w:p>
    <w:p>
      <w:pPr>
        <w:pStyle w:val="ListParagraph"/>
        <w:numPr>
          <w:ilvl w:val="0"/>
          <w:numId w:val="1"/>
        </w:numPr>
        <w:spacing w:after="60"/>
      </w:pPr>
      <w:r>
        <w:t xml:space="preserve">Create a non-root sudo user; keep root login for local/console recovery only.</w:t>
      </w:r>
    </w:p>
    <w:p>
      <w:pPr>
        <w:pStyle w:val="ListParagraph"/>
        <w:numPr>
          <w:ilvl w:val="0"/>
          <w:numId w:val="1"/>
        </w:numPr>
        <w:spacing w:after="60"/>
      </w:pPr>
      <w:r>
        <w:t xml:space="preserve">Switch SSH to key-only authentication (PasswordAuthentication no) and disable root SSH login (PermitRootLogin no).</w:t>
      </w:r>
    </w:p>
    <w:p>
      <w:pPr>
        <w:pStyle w:val="ListParagraph"/>
        <w:numPr>
          <w:ilvl w:val="0"/>
          <w:numId w:val="1"/>
        </w:numPr>
        <w:spacing w:after="60"/>
      </w:pPr>
      <w:r>
        <w:t xml:space="preserve">Move SSH off port 22 to a non-standard port, and open that same port in the firewall in Section 7 before disconnecting.</w:t>
      </w:r>
    </w:p>
    <w:p>
      <w:pPr>
        <w:pStyle w:val="ListParagraph"/>
        <w:numPr>
          <w:ilvl w:val="0"/>
          <w:numId w:val="1"/>
        </w:numPr>
        <w:spacing w:after="60"/>
      </w:pPr>
      <w:r>
        <w:t xml:space="preserve">Enable unattended-upgrades for OS security patches.</w:t>
      </w:r>
    </w:p>
    <w:p>
      <w:pPr>
        <w:pStyle w:val="ListParagraph"/>
        <w:numPr>
          <w:ilvl w:val="0"/>
          <w:numId w:val="1"/>
        </w:numPr>
        <w:spacing w:after="60"/>
      </w:pPr>
      <w:r>
        <w:t xml:space="preserve">Set the correct timezone and confirm NTP is syncing (chrony or systemd-timesyncd).</w:t>
      </w:r>
    </w:p>
    <w:p>
      <w:pPr>
        <w:pStyle w:val="ListParagraph"/>
        <w:numPr>
          <w:ilvl w:val="0"/>
          <w:numId w:val="1"/>
        </w:numPr>
        <w:spacing w:after="60"/>
      </w:pPr>
      <w:r>
        <w:t xml:space="preserve">Add a 2 GB swap file — cheap insurance against a single runaway process on an otherwise healthy 8 GB box.</w:t>
      </w:r>
    </w:p>
    <w:p>
      <w:pPr>
        <w:spacing w:before="120"/>
      </w:pPr>
      <w:r>
        <w:t xml:space="preserve">Then install CyberPanel with the official installer:</w:t>
      </w:r>
    </w:p>
    <w:p>
      <w:pPr>
        <w:pStyle w:val="CodeBlock"/>
        <w:shd w:val="clear" w:color="auto" w:fill="F1EFE9"/>
        <w:spacing w:before="40" w:after="40"/>
      </w:pPr>
      <w:r>
        <w:rPr>
          <w:rFonts w:ascii="Consolas" w:hAnsi="Consolas" w:cs="Consolas"/>
          <w:sz w:val="19.0"/>
          <w:szCs w:val="19.0"/>
        </w:rPr>
        <w:t xml:space="preserve">sh &lt;(curl https://cyberpanel.net/install.sh || wget -O - https://cyberpanel.net/install.sh)</w:t>
      </w:r>
    </w:p>
    <w:p>
      <w:pPr>
        <w:pStyle w:val="Heading1"/>
        <w:keepNext/>
      </w:pPr>
      <w:r>
        <w:t xml:space="preserve">6. CyberPanel Installation &amp; Site Setup</w:t>
      </w:r>
    </w:p>
    <w:p>
      <w:pPr>
        <w:pStyle w:val="ListParagraph"/>
        <w:numPr>
          <w:ilvl w:val="0"/>
          <w:numId w:val="1"/>
        </w:numPr>
        <w:spacing w:after="60"/>
      </w:pPr>
      <w:r>
        <w:t xml:space="preserve">Web server: OpenLiteSpeed (free tier) is sufficient at this traffic level. LiteSpeed Enterprise unlocks server-level LSCache and higher worker connections — worth revisiting only if traffic materially grows (see Section 16).</w:t>
      </w:r>
    </w:p>
    <w:p>
      <w:pPr>
        <w:pStyle w:val="ListParagraph"/>
        <w:numPr>
          <w:ilvl w:val="0"/>
          <w:numId w:val="1"/>
        </w:numPr>
        <w:spacing w:after="60"/>
      </w:pPr>
      <w:r>
        <w:t xml:space="preserve">During install, skip the bundled mail server (Postfix/Dovecot/Rspamd) unless Analise wants @analiseroland.com inboxes hosted here — see Section 13 for why outbound lead-notification mail should go through Postmark/SES either way.</w:t>
      </w:r>
    </w:p>
    <w:p>
      <w:pPr>
        <w:pStyle w:val="ListParagraph"/>
        <w:numPr>
          <w:ilvl w:val="0"/>
          <w:numId w:val="1"/>
        </w:numPr>
        <w:spacing w:after="60"/>
      </w:pPr>
      <w:r>
        <w:t xml:space="preserve">Create the website in CyberPanel: domain analiseroland.com, PHP 8.3 (Laravel 11 requires 8.2+).</w:t>
      </w:r>
    </w:p>
    <w:p>
      <w:pPr>
        <w:pStyle w:val="ListParagraph"/>
        <w:numPr>
          <w:ilvl w:val="0"/>
          <w:numId w:val="1"/>
        </w:numPr>
        <w:spacing w:after="60"/>
      </w:pPr>
      <w:r>
        <w:t xml:space="preserve">Enable SSL via CyberPanel's AutoSSL (Let's Encrypt) — it auto-renews; confirm the site is forced to HTTPS.</w:t>
      </w:r>
    </w:p>
    <w:p>
      <w:pPr>
        <w:pStyle w:val="ListParagraph"/>
        <w:numPr>
          <w:ilvl w:val="0"/>
          <w:numId w:val="1"/>
        </w:numPr>
        <w:spacing w:after="60"/>
      </w:pPr>
      <w:r>
        <w:t xml:space="preserve">Point the site's document root at the Laravel project's public/ folder, not the project root. This is the single most important setting in this whole document: get it wrong and .env, app/, and storage/ are served directly over HTTP.</w:t>
      </w:r>
    </w:p>
    <w:p>
      <w:pPr>
        <w:pStyle w:val="ListParagraph"/>
        <w:numPr>
          <w:ilvl w:val="0"/>
          <w:numId w:val="1"/>
        </w:numPr>
        <w:spacing w:after="60"/>
      </w:pPr>
      <w:r>
        <w:t xml:space="preserve">Enable PHP extensions the app needs (CyberPanel &gt; PHP &gt; select per site): openssl, pdo_mysql, mbstring, tokenizer, xml, ctype, json, bcmath, curl, fileinfo, gd, redis.</w:t>
      </w:r>
    </w:p>
    <w:p>
      <w:pPr>
        <w:pStyle w:val="ListParagraph"/>
        <w:numPr>
          <w:ilvl w:val="0"/>
          <w:numId w:val="1"/>
        </w:numPr>
        <w:spacing w:after="60"/>
      </w:pPr>
      <w:r>
        <w:t xml:space="preserve">Composer isn't run by CyberPanel — install it once on the box and run composer install over SSH as part of the deploy script in Section 12.</w:t>
      </w:r>
    </w:p>
    <w:p>
      <w:pPr>
        <w:pStyle w:val="Heading1"/>
        <w:keepNext/>
      </w:pPr>
      <w:r>
        <w:t xml:space="preserve">7. CyberPanel Security Configuration</w:t>
      </w:r>
    </w:p>
    <w:p>
      <w:r>
        <w:t xml:space="preserve">CyberPanel bundles most of what a hardened site needs; none of it is on by default beyond basic SSL. Work through this list once at launch, then keep it in the maintenance schedule (Section 15).</w:t>
      </w:r>
    </w:p>
    <w:tbl>
      <w:tblPr>
        <w:tblStyle w:val="PlanTable"/>
        <w:tblW w:w="936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CellMar>
          <w:top w:w="80" w:type="dxa"/>
          <w:left w:w="120" w:type="dxa"/>
          <w:bottom w:w="80" w:type="dxa"/>
          <w:right w:w="120" w:type="dxa"/>
        </w:tblCellMar>
      </w:tblPr>
      <w:tblGrid>
        <w:gridCol w:w="1750"/>
        <w:gridCol w:w="2050"/>
        <w:gridCol w:w="5560"/>
      </w:tblGrid>
      <w:tr>
        <w:tc>
          <w:tcPr>
            <w:tcW w:w="1750" w:type="dxa"/>
            <w:shd w:val="clear" w:color="auto" w:fill="1F3864"/>
            <w:vAlign w:val="center"/>
          </w:tcPr>
          <w:p>
            <w:pPr>
              <w:spacing w:after="0"/>
            </w:pPr>
            <w:r>
              <w:rPr>
                <w:b/>
                <w:color w:val="FFFFFF"/>
                <w:sz w:val="20"/>
                <w:szCs w:val="20"/>
              </w:rPr>
              <w:t xml:space="preserve">Feature</w:t>
            </w:r>
          </w:p>
        </w:tc>
        <w:tc>
          <w:tcPr>
            <w:tcW w:w="2050" w:type="dxa"/>
            <w:shd w:val="clear" w:color="auto" w:fill="1F3864"/>
            <w:vAlign w:val="center"/>
          </w:tcPr>
          <w:p>
            <w:pPr>
              <w:spacing w:after="0"/>
            </w:pPr>
            <w:r>
              <w:rPr>
                <w:b/>
                <w:color w:val="FFFFFF"/>
                <w:sz w:val="20"/>
                <w:szCs w:val="20"/>
              </w:rPr>
              <w:t xml:space="preserve">Where</w:t>
            </w:r>
          </w:p>
        </w:tc>
        <w:tc>
          <w:tcPr>
            <w:tcW w:w="5560" w:type="dxa"/>
            <w:shd w:val="clear" w:color="auto" w:fill="1F3864"/>
            <w:vAlign w:val="center"/>
          </w:tcPr>
          <w:p>
            <w:pPr>
              <w:spacing w:after="0"/>
            </w:pPr>
            <w:r>
              <w:rPr>
                <w:b/>
                <w:color w:val="FFFFFF"/>
                <w:sz w:val="20"/>
                <w:szCs w:val="20"/>
              </w:rPr>
              <w:t xml:space="preserve">Configuration</w:t>
            </w:r>
          </w:p>
        </w:tc>
      </w:tr>
      <w:tr>
        <w:tc>
          <w:tcPr>
            <w:tcW w:w="1750" w:type="dxa"/>
            <w:vAlign w:val="center"/>
          </w:tcPr>
          <w:p>
            <w:pPr>
              <w:spacing w:after="0"/>
            </w:pPr>
            <w:r>
              <w:rPr>
                <w:b/>
                <w:color w:val="2B2620"/>
                <w:sz w:val="20"/>
                <w:szCs w:val="20"/>
              </w:rPr>
              <w:t xml:space="preserve">Firewall (CSF)</w:t>
            </w:r>
          </w:p>
        </w:tc>
        <w:tc>
          <w:tcPr>
            <w:tcW w:w="2050" w:type="dxa"/>
            <w:vAlign w:val="center"/>
          </w:tcPr>
          <w:p>
            <w:pPr>
              <w:spacing w:after="0"/>
            </w:pPr>
            <w:r>
              <w:rPr>
                <w:color w:val="2B2620"/>
                <w:sz w:val="20"/>
                <w:szCs w:val="20"/>
              </w:rPr>
              <w:t xml:space="preserve">Security &gt; Firewall</w:t>
            </w:r>
          </w:p>
        </w:tc>
        <w:tc>
          <w:tcPr>
            <w:tcW w:w="5560" w:type="dxa"/>
            <w:vAlign w:val="center"/>
          </w:tcPr>
          <w:p>
            <w:pPr>
              <w:spacing w:after="0"/>
            </w:pPr>
            <w:r>
              <w:rPr>
                <w:color w:val="2B2620"/>
                <w:sz w:val="20"/>
                <w:szCs w:val="20"/>
              </w:rPr>
              <w:t xml:space="preserve">Allow only 80/443, the custom SSH port, and CyberPanel's admin port (8090 — restrict this to Analise/Kelsey's/your admin IPs if they're static). Enable SYN-flood protection and port-scan blocking.</w:t>
            </w:r>
          </w:p>
        </w:tc>
      </w:tr>
      <w:tr>
        <w:tc>
          <w:tcPr>
            <w:tcW w:w="1750" w:type="dxa"/>
            <w:vAlign w:val="center"/>
          </w:tcPr>
          <w:p>
            <w:pPr>
              <w:spacing w:after="0"/>
            </w:pPr>
            <w:r>
              <w:rPr>
                <w:b/>
                <w:color w:val="2B2620"/>
                <w:sz w:val="20"/>
                <w:szCs w:val="20"/>
              </w:rPr>
              <w:t xml:space="preserve">ModSecurity (WAF)</w:t>
            </w:r>
          </w:p>
        </w:tc>
        <w:tc>
          <w:tcPr>
            <w:tcW w:w="2050" w:type="dxa"/>
            <w:vAlign w:val="center"/>
          </w:tcPr>
          <w:p>
            <w:pPr>
              <w:spacing w:after="0"/>
            </w:pPr>
            <w:r>
              <w:rPr>
                <w:color w:val="2B2620"/>
                <w:sz w:val="20"/>
                <w:szCs w:val="20"/>
              </w:rPr>
              <w:t xml:space="preserve">Security &gt; ModSecurity</w:t>
            </w:r>
          </w:p>
        </w:tc>
        <w:tc>
          <w:tcPr>
            <w:tcW w:w="5560" w:type="dxa"/>
            <w:vAlign w:val="center"/>
          </w:tcPr>
          <w:p>
            <w:pPr>
              <w:spacing w:after="0"/>
            </w:pPr>
            <w:r>
              <w:rPr>
                <w:color w:val="2B2620"/>
                <w:sz w:val="20"/>
                <w:szCs w:val="20"/>
              </w:rPr>
              <w:t xml:space="preserve">Enable the OWASP Core Rule Set on the site. Run in Detection mode for the first week against the lead form and the Filament admin, confirm no false positives, then switch to blocking.</w:t>
            </w:r>
          </w:p>
        </w:tc>
      </w:tr>
      <w:tr>
        <w:tc>
          <w:tcPr>
            <w:tcW w:w="1750" w:type="dxa"/>
            <w:vAlign w:val="center"/>
          </w:tcPr>
          <w:p>
            <w:pPr>
              <w:spacing w:after="0"/>
            </w:pPr>
            <w:r>
              <w:rPr>
                <w:b/>
                <w:color w:val="2B2620"/>
                <w:sz w:val="20"/>
                <w:szCs w:val="20"/>
              </w:rPr>
              <w:t xml:space="preserve">Malware scanning</w:t>
            </w:r>
          </w:p>
        </w:tc>
        <w:tc>
          <w:tcPr>
            <w:tcW w:w="2050" w:type="dxa"/>
            <w:vAlign w:val="center"/>
          </w:tcPr>
          <w:p>
            <w:pPr>
              <w:spacing w:after="0"/>
            </w:pPr>
            <w:r>
              <w:rPr>
                <w:color w:val="2B2620"/>
                <w:sz w:val="20"/>
                <w:szCs w:val="20"/>
              </w:rPr>
              <w:t xml:space="preserve">Security (ImunifyAV) or a ClamAV cron</w:t>
            </w:r>
          </w:p>
        </w:tc>
        <w:tc>
          <w:tcPr>
            <w:tcW w:w="5560" w:type="dxa"/>
            <w:vAlign w:val="center"/>
          </w:tcPr>
          <w:p>
            <w:pPr>
              <w:spacing w:after="0"/>
            </w:pPr>
            <w:r>
              <w:rPr>
                <w:color w:val="2B2620"/>
                <w:sz w:val="20"/>
                <w:szCs w:val="20"/>
              </w:rPr>
              <w:t xml:space="preserve">Schedule a weekly scan of the web root.</w:t>
            </w:r>
          </w:p>
        </w:tc>
      </w:tr>
      <w:tr>
        <w:tc>
          <w:tcPr>
            <w:tcW w:w="1750" w:type="dxa"/>
            <w:vAlign w:val="center"/>
          </w:tcPr>
          <w:p>
            <w:pPr>
              <w:spacing w:after="0"/>
            </w:pPr>
            <w:r>
              <w:rPr>
                <w:b/>
                <w:color w:val="2B2620"/>
                <w:sz w:val="20"/>
                <w:szCs w:val="20"/>
              </w:rPr>
              <w:t xml:space="preserve">Brute-force / login protection</w:t>
            </w:r>
          </w:p>
        </w:tc>
        <w:tc>
          <w:tcPr>
            <w:tcW w:w="2050" w:type="dxa"/>
            <w:vAlign w:val="center"/>
          </w:tcPr>
          <w:p>
            <w:pPr>
              <w:spacing w:after="0"/>
            </w:pPr>
            <w:r>
              <w:rPr>
                <w:color w:val="2B2620"/>
                <w:sz w:val="20"/>
                <w:szCs w:val="20"/>
              </w:rPr>
              <w:t xml:space="preserve">Security (Fail2Ban-backed jails)</w:t>
            </w:r>
          </w:p>
        </w:tc>
        <w:tc>
          <w:tcPr>
            <w:tcW w:w="5560" w:type="dxa"/>
            <w:vAlign w:val="center"/>
          </w:tcPr>
          <w:p>
            <w:pPr>
              <w:spacing w:after="0"/>
            </w:pPr>
            <w:r>
              <w:rPr>
                <w:color w:val="2B2620"/>
                <w:sz w:val="20"/>
                <w:szCs w:val="20"/>
              </w:rPr>
              <w:t xml:space="preserve">Confirm jails are active for the CyberPanel admin login and SSH, and for Dovecot/Postfix if mail is self-hosted.</w:t>
            </w:r>
          </w:p>
        </w:tc>
      </w:tr>
      <w:tr>
        <w:tc>
          <w:tcPr>
            <w:tcW w:w="1750" w:type="dxa"/>
            <w:vAlign w:val="center"/>
          </w:tcPr>
          <w:p>
            <w:pPr>
              <w:spacing w:after="0"/>
            </w:pPr>
            <w:r>
              <w:rPr>
                <w:b/>
                <w:color w:val="2B2620"/>
                <w:sz w:val="20"/>
                <w:szCs w:val="20"/>
              </w:rPr>
              <w:t xml:space="preserve">Two-factor authentication</w:t>
            </w:r>
          </w:p>
        </w:tc>
        <w:tc>
          <w:tcPr>
            <w:tcW w:w="2050" w:type="dxa"/>
            <w:vAlign w:val="center"/>
          </w:tcPr>
          <w:p>
            <w:pPr>
              <w:spacing w:after="0"/>
            </w:pPr>
            <w:r>
              <w:rPr>
                <w:color w:val="2B2620"/>
                <w:sz w:val="20"/>
                <w:szCs w:val="20"/>
              </w:rPr>
              <w:t xml:space="preserve">Users &gt; 2FA</w:t>
            </w:r>
          </w:p>
        </w:tc>
        <w:tc>
          <w:tcPr>
            <w:tcW w:w="5560" w:type="dxa"/>
            <w:vAlign w:val="center"/>
          </w:tcPr>
          <w:p>
            <w:pPr>
              <w:spacing w:after="0"/>
            </w:pPr>
            <w:r>
              <w:rPr>
                <w:color w:val="2B2620"/>
                <w:sz w:val="20"/>
                <w:szCs w:val="20"/>
              </w:rPr>
              <w:t xml:space="preserve">Enable on the CyberPanel admin account itself — panel access shouldn't rely on a password alone.</w:t>
            </w:r>
          </w:p>
        </w:tc>
      </w:tr>
      <w:tr>
        <w:tc>
          <w:tcPr>
            <w:tcW w:w="1750" w:type="dxa"/>
            <w:vAlign w:val="center"/>
          </w:tcPr>
          <w:p>
            <w:pPr>
              <w:spacing w:after="0"/>
            </w:pPr>
            <w:r>
              <w:rPr>
                <w:b/>
                <w:color w:val="2B2620"/>
                <w:sz w:val="20"/>
                <w:szCs w:val="20"/>
              </w:rPr>
              <w:t xml:space="preserve">Country / IP blocking</w:t>
            </w:r>
          </w:p>
        </w:tc>
        <w:tc>
          <w:tcPr>
            <w:tcW w:w="2050" w:type="dxa"/>
            <w:vAlign w:val="center"/>
          </w:tcPr>
          <w:p>
            <w:pPr>
              <w:spacing w:after="0"/>
            </w:pPr>
            <w:r>
              <w:rPr>
                <w:color w:val="2B2620"/>
                <w:sz w:val="20"/>
                <w:szCs w:val="20"/>
              </w:rPr>
              <w:t xml:space="preserve">Security &gt; Block Country</w:t>
            </w:r>
          </w:p>
        </w:tc>
        <w:tc>
          <w:tcPr>
            <w:tcW w:w="5560" w:type="dxa"/>
            <w:vAlign w:val="center"/>
          </w:tcPr>
          <w:p>
            <w:pPr>
              <w:spacing w:after="0"/>
            </w:pPr>
            <w:r>
              <w:rPr>
                <w:color w:val="2B2620"/>
                <w:sz w:val="20"/>
                <w:szCs w:val="20"/>
              </w:rPr>
              <w:t xml:space="preserve">Optional. Analise's clientele is US founders and institutional allocators; a loose geo-block can cut noise, but keep it conservative — don't block a traveling prospect.</w:t>
            </w:r>
          </w:p>
        </w:tc>
      </w:tr>
      <w:tr>
        <w:tc>
          <w:tcPr>
            <w:tcW w:w="1750" w:type="dxa"/>
            <w:vAlign w:val="center"/>
          </w:tcPr>
          <w:p>
            <w:pPr>
              <w:spacing w:after="0"/>
            </w:pPr>
            <w:r>
              <w:rPr>
                <w:b/>
                <w:color w:val="2B2620"/>
                <w:sz w:val="20"/>
                <w:szCs w:val="20"/>
              </w:rPr>
              <w:t xml:space="preserve">TLS hardening</w:t>
            </w:r>
          </w:p>
        </w:tc>
        <w:tc>
          <w:tcPr>
            <w:tcW w:w="2050" w:type="dxa"/>
            <w:vAlign w:val="center"/>
          </w:tcPr>
          <w:p>
            <w:pPr>
              <w:spacing w:after="0"/>
            </w:pPr>
            <w:r>
              <w:rPr>
                <w:color w:val="2B2620"/>
                <w:sz w:val="20"/>
                <w:szCs w:val="20"/>
              </w:rPr>
              <w:t xml:space="preserve">SSL settings / OpenLiteSpeed vhost</w:t>
            </w:r>
          </w:p>
        </w:tc>
        <w:tc>
          <w:tcPr>
            <w:tcW w:w="5560" w:type="dxa"/>
            <w:vAlign w:val="center"/>
          </w:tcPr>
          <w:p>
            <w:pPr>
              <w:spacing w:after="0"/>
            </w:pPr>
            <w:r>
              <w:rPr>
                <w:color w:val="2B2620"/>
                <w:sz w:val="20"/>
                <w:szCs w:val="20"/>
              </w:rPr>
              <w:t xml:space="preserve">Force HTTPS redirect, add an HSTS header, disable TLS 1.0/1.1 and weak ciphers.</w:t>
            </w:r>
          </w:p>
        </w:tc>
      </w:tr>
      <w:tr>
        <w:tc>
          <w:tcPr>
            <w:tcW w:w="1750" w:type="dxa"/>
            <w:vAlign w:val="center"/>
          </w:tcPr>
          <w:p>
            <w:pPr>
              <w:spacing w:after="0"/>
            </w:pPr>
            <w:r>
              <w:rPr>
                <w:b/>
                <w:color w:val="2B2620"/>
                <w:sz w:val="20"/>
                <w:szCs w:val="20"/>
              </w:rPr>
              <w:t xml:space="preserve">Per-site isolation</w:t>
            </w:r>
          </w:p>
        </w:tc>
        <w:tc>
          <w:tcPr>
            <w:tcW w:w="2050" w:type="dxa"/>
            <w:vAlign w:val="center"/>
          </w:tcPr>
          <w:p>
            <w:pPr>
              <w:spacing w:after="0"/>
            </w:pPr>
            <w:r>
              <w:rPr>
                <w:color w:val="2B2620"/>
                <w:sz w:val="20"/>
                <w:szCs w:val="20"/>
              </w:rPr>
              <w:t xml:space="preserve">Default CyberPanel behavior</w:t>
            </w:r>
          </w:p>
        </w:tc>
        <w:tc>
          <w:tcPr>
            <w:tcW w:w="5560" w:type="dxa"/>
            <w:vAlign w:val="center"/>
          </w:tcPr>
          <w:p>
            <w:pPr>
              <w:spacing w:after="0"/>
            </w:pPr>
            <w:r>
              <w:rPr>
                <w:color w:val="2B2620"/>
                <w:sz w:val="20"/>
                <w:szCs w:val="20"/>
              </w:rPr>
              <w:t xml:space="preserve">Each site gets its own Linux user and PHP-FPM pool. Keep it that way if other properties (e.g. the real estate company site) ever land on this same box — never share a pool across sites.</w:t>
            </w:r>
          </w:p>
        </w:tc>
      </w:tr>
      <w:tr>
        <w:tc>
          <w:tcPr>
            <w:tcW w:w="1750" w:type="dxa"/>
            <w:vAlign w:val="center"/>
          </w:tcPr>
          <w:p>
            <w:pPr>
              <w:spacing w:after="0"/>
            </w:pPr>
            <w:r>
              <w:rPr>
                <w:b/>
                <w:color w:val="2B2620"/>
                <w:sz w:val="20"/>
                <w:szCs w:val="20"/>
              </w:rPr>
              <w:t xml:space="preserve">File permissions</w:t>
            </w:r>
          </w:p>
        </w:tc>
        <w:tc>
          <w:tcPr>
            <w:tcW w:w="2050" w:type="dxa"/>
            <w:vAlign w:val="center"/>
          </w:tcPr>
          <w:p>
            <w:pPr>
              <w:spacing w:after="0"/>
            </w:pPr>
            <w:r>
              <w:rPr>
                <w:color w:val="2B2620"/>
                <w:sz w:val="20"/>
                <w:szCs w:val="20"/>
              </w:rPr>
              <w:t xml:space="preserve">Server-side</w:t>
            </w:r>
          </w:p>
        </w:tc>
        <w:tc>
          <w:tcPr>
            <w:tcW w:w="5560" w:type="dxa"/>
            <w:vAlign w:val="center"/>
          </w:tcPr>
          <w:p>
            <w:pPr>
              <w:spacing w:after="0"/>
            </w:pPr>
            <w:r>
              <w:rPr>
                <w:color w:val="2B2620"/>
                <w:sz w:val="20"/>
                <w:szCs w:val="20"/>
              </w:rPr>
              <w:t xml:space="preserve">Site files owned by that site's dedicated user; storage/ and bootstrap/cache/ writable (775) but not world-writable; .env at 640. Confirm open_basedir is set per site (CyberPanel default).</w:t>
            </w:r>
          </w:p>
        </w:tc>
      </w:tr>
      <w:tr>
        <w:tc>
          <w:tcPr>
            <w:tcW w:w="1750" w:type="dxa"/>
            <w:vAlign w:val="center"/>
          </w:tcPr>
          <w:p>
            <w:pPr>
              <w:spacing w:after="0"/>
            </w:pPr>
            <w:r>
              <w:rPr>
                <w:b/>
                <w:color w:val="2B2620"/>
                <w:sz w:val="20"/>
                <w:szCs w:val="20"/>
              </w:rPr>
              <w:t xml:space="preserve">Backups</w:t>
            </w:r>
          </w:p>
        </w:tc>
        <w:tc>
          <w:tcPr>
            <w:tcW w:w="2050" w:type="dxa"/>
            <w:vAlign w:val="center"/>
          </w:tcPr>
          <w:p>
            <w:pPr>
              <w:spacing w:after="0"/>
            </w:pPr>
            <w:r>
              <w:rPr>
                <w:color w:val="2B2620"/>
                <w:sz w:val="20"/>
                <w:szCs w:val="20"/>
              </w:rPr>
              <w:t xml:space="preserve">Backup &gt; Create Destination</w:t>
            </w:r>
          </w:p>
        </w:tc>
        <w:tc>
          <w:tcPr>
            <w:tcW w:w="5560" w:type="dxa"/>
            <w:vAlign w:val="center"/>
          </w:tcPr>
          <w:p>
            <w:pPr>
              <w:spacing w:after="0"/>
            </w:pPr>
            <w:r>
              <w:rPr>
                <w:color w:val="2B2620"/>
                <w:sz w:val="20"/>
                <w:szCs w:val="20"/>
              </w:rPr>
              <w:t xml:space="preserve">Daily scheduled backup pushed to an offsite destination (S3 / Backblaze / Google Drive), 14-day retention — full detail in Section 10.</w:t>
            </w:r>
          </w:p>
        </w:tc>
      </w:tr>
    </w:tbl>
    <w:p>
      <w:pPr>
        <w:spacing w:after="160"/>
      </w:pPr>
      <w:r>
        <w:t xml:space="preserve"/>
      </w:r>
    </w:p>
    <w:p>
      <w:r>
        <w:t xml:space="preserve">One more layer that's Laravel's job, not CyberPanel's: the lead form is the most likely abuse target on a public site like this. Add Laravel's throttle middleware (e.g. 5 submissions per hour per IP) plus a honeypot field or Cloudflare Turnstile in front of it, on top of CSF's generic protection.</w:t>
      </w:r>
    </w:p>
    <w:p>
      <w:pPr>
        <w:pStyle w:val="Heading1"/>
        <w:keepNext/>
      </w:pPr>
      <w:r>
        <w:t xml:space="preserve">8. Laravel Application Architecture</w:t>
      </w:r>
    </w:p>
    <w:p>
      <w:pPr>
        <w:spacing w:after="80"/>
      </w:pPr>
      <w:r>
        <w:t xml:space="preserve">Recommended stack:</w:t>
      </w:r>
    </w:p>
    <w:p>
      <w:pPr>
        <w:pStyle w:val="ListParagraph"/>
        <w:numPr>
          <w:ilvl w:val="0"/>
          <w:numId w:val="1"/>
        </w:numPr>
        <w:spacing w:after="60"/>
      </w:pPr>
      <w:r>
        <w:t xml:space="preserve">Laravel 11 on PHP 8.3</w:t>
      </w:r>
    </w:p>
    <w:p>
      <w:pPr>
        <w:pStyle w:val="ListParagraph"/>
        <w:numPr>
          <w:ilvl w:val="0"/>
          <w:numId w:val="1"/>
        </w:numPr>
        <w:spacing w:after="60"/>
      </w:pPr>
      <w:r>
        <w:t xml:space="preserve">MariaDB 10.11</w:t>
      </w:r>
    </w:p>
    <w:p>
      <w:pPr>
        <w:pStyle w:val="ListParagraph"/>
        <w:numPr>
          <w:ilvl w:val="0"/>
          <w:numId w:val="1"/>
        </w:numPr>
        <w:spacing w:after="60"/>
      </w:pPr>
      <w:r>
        <w:t xml:space="preserve">Redis 7 — cache, session, and queue driver</w:t>
      </w:r>
    </w:p>
    <w:p>
      <w:pPr>
        <w:pStyle w:val="ListParagraph"/>
        <w:numPr>
          <w:ilvl w:val="0"/>
          <w:numId w:val="1"/>
        </w:numPr>
        <w:spacing w:after="60"/>
      </w:pPr>
      <w:r>
        <w:t xml:space="preserve">Filament 3 — admin panel; fastest path to a usable CMS for Analise/Kelsey without hand-building CRUD screens</w:t>
      </w:r>
    </w:p>
    <w:p>
      <w:pPr>
        <w:pStyle w:val="ListParagraph"/>
        <w:numPr>
          <w:ilvl w:val="0"/>
          <w:numId w:val="1"/>
        </w:numPr>
        <w:spacing w:after="60"/>
      </w:pPr>
      <w:r>
        <w:t xml:space="preserve">spatie/laravel-honeypot — spam protection on the lead form</w:t>
      </w:r>
    </w:p>
    <w:p>
      <w:pPr>
        <w:pStyle w:val="ListParagraph"/>
        <w:numPr>
          <w:ilvl w:val="0"/>
          <w:numId w:val="1"/>
        </w:numPr>
        <w:spacing w:after="60"/>
      </w:pPr>
      <w:r>
        <w:t xml:space="preserve">spatie/laravel-sitemap — keeps the public sitemap in sync as case studies are added</w:t>
      </w:r>
    </w:p>
    <w:p>
      <w:pPr>
        <w:pStyle w:val="Heading3"/>
        <w:keepNext/>
      </w:pPr>
      <w:r>
        <w:t xml:space="preserve">Deploy layout</w:t>
      </w:r>
    </w:p>
    <w:p>
      <w:r>
        <w:t xml:space="preserve">Use a releases/ + shared/ + symlinked current/ layout (the pattern tools like Deployer use): each deploy unpacks into its own releases/&lt;timestamp&gt; folder, and the docroot points at current/public, where current is a symlink swapped atomically once the new release is verified. shared/ holds .env and storage/ across releases. This is what makes the deploy pipeline in Section 12 zero-downtime and instantly reversible.</w:t>
      </w:r>
    </w:p>
    <w:p>
      <w:pPr>
        <w:pStyle w:val="Heading3"/>
        <w:keepNext/>
      </w:pPr>
      <w:r>
        <w:t xml:space="preserve">Suggested database schema</w:t>
      </w:r>
    </w:p>
    <w:tbl>
      <w:tblPr>
        <w:tblStyle w:val="PlanTable"/>
        <w:tblW w:w="936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CellMar>
          <w:top w:w="80" w:type="dxa"/>
          <w:left w:w="120" w:type="dxa"/>
          <w:bottom w:w="80" w:type="dxa"/>
          <w:right w:w="120" w:type="dxa"/>
        </w:tblCellMar>
      </w:tblPr>
      <w:tblGrid>
        <w:gridCol w:w="1650"/>
        <w:gridCol w:w="2650"/>
        <w:gridCol w:w="5060"/>
      </w:tblGrid>
      <w:tr>
        <w:tc>
          <w:tcPr>
            <w:tcW w:w="1650" w:type="dxa"/>
            <w:shd w:val="clear" w:color="auto" w:fill="1F3864"/>
            <w:vAlign w:val="center"/>
          </w:tcPr>
          <w:p>
            <w:pPr>
              <w:spacing w:after="0"/>
            </w:pPr>
            <w:r>
              <w:rPr>
                <w:b/>
                <w:color w:val="FFFFFF"/>
                <w:sz w:val="20"/>
                <w:szCs w:val="20"/>
              </w:rPr>
              <w:t xml:space="preserve">Table</w:t>
            </w:r>
          </w:p>
        </w:tc>
        <w:tc>
          <w:tcPr>
            <w:tcW w:w="2650" w:type="dxa"/>
            <w:shd w:val="clear" w:color="auto" w:fill="1F3864"/>
            <w:vAlign w:val="center"/>
          </w:tcPr>
          <w:p>
            <w:pPr>
              <w:spacing w:after="0"/>
            </w:pPr>
            <w:r>
              <w:rPr>
                <w:b/>
                <w:color w:val="FFFFFF"/>
                <w:sz w:val="20"/>
                <w:szCs w:val="20"/>
              </w:rPr>
              <w:t xml:space="preserve">Key columns</w:t>
            </w:r>
          </w:p>
        </w:tc>
        <w:tc>
          <w:tcPr>
            <w:tcW w:w="5060" w:type="dxa"/>
            <w:shd w:val="clear" w:color="auto" w:fill="1F3864"/>
            <w:vAlign w:val="center"/>
          </w:tcPr>
          <w:p>
            <w:pPr>
              <w:spacing w:after="0"/>
            </w:pPr>
            <w:r>
              <w:rPr>
                <w:b/>
                <w:color w:val="FFFFFF"/>
                <w:sz w:val="20"/>
                <w:szCs w:val="20"/>
              </w:rPr>
              <w:t xml:space="preserve">Purpose</w:t>
            </w:r>
          </w:p>
        </w:tc>
      </w:tr>
      <w:tr>
        <w:tc>
          <w:tcPr>
            <w:tcW w:w="1650" w:type="dxa"/>
            <w:vAlign w:val="center"/>
          </w:tcPr>
          <w:p>
            <w:pPr>
              <w:spacing w:after="0"/>
            </w:pPr>
            <w:r>
              <w:rPr>
                <w:b/>
                <w:color w:val="2B2620"/>
                <w:sz w:val="20"/>
                <w:szCs w:val="20"/>
              </w:rPr>
              <w:t xml:space="preserve">leads</w:t>
            </w:r>
          </w:p>
        </w:tc>
        <w:tc>
          <w:tcPr>
            <w:tcW w:w="2650" w:type="dxa"/>
            <w:vAlign w:val="center"/>
          </w:tcPr>
          <w:p>
            <w:pPr>
              <w:spacing w:after="0"/>
            </w:pPr>
            <w:r>
              <w:rPr>
                <w:color w:val="2B2620"/>
                <w:sz w:val="20"/>
                <w:szCs w:val="20"/>
              </w:rPr>
              <w:t xml:space="preserve">name, email, company, message, source, created_at</w:t>
            </w:r>
          </w:p>
        </w:tc>
        <w:tc>
          <w:tcPr>
            <w:tcW w:w="5060" w:type="dxa"/>
            <w:vAlign w:val="center"/>
          </w:tcPr>
          <w:p>
            <w:pPr>
              <w:spacing w:after="0"/>
            </w:pPr>
            <w:r>
              <w:rPr>
                <w:color w:val="2B2620"/>
                <w:sz w:val="20"/>
                <w:szCs w:val="20"/>
              </w:rPr>
              <w:t xml:space="preserve">Every lead-form submission — the one table that can never be lost, see Section 10</w:t>
            </w:r>
          </w:p>
        </w:tc>
      </w:tr>
      <w:tr>
        <w:tc>
          <w:tcPr>
            <w:tcW w:w="1650" w:type="dxa"/>
            <w:vAlign w:val="center"/>
          </w:tcPr>
          <w:p>
            <w:pPr>
              <w:spacing w:after="0"/>
            </w:pPr>
            <w:r>
              <w:rPr>
                <w:b/>
                <w:color w:val="2B2620"/>
                <w:sz w:val="20"/>
                <w:szCs w:val="20"/>
              </w:rPr>
              <w:t xml:space="preserve">testimonials</w:t>
            </w:r>
          </w:p>
        </w:tc>
        <w:tc>
          <w:tcPr>
            <w:tcW w:w="2650" w:type="dxa"/>
            <w:vAlign w:val="center"/>
          </w:tcPr>
          <w:p>
            <w:pPr>
              <w:spacing w:after="0"/>
            </w:pPr>
            <w:r>
              <w:rPr>
                <w:color w:val="2B2620"/>
                <w:sz w:val="20"/>
                <w:szCs w:val="20"/>
              </w:rPr>
              <w:t xml:space="preserve">quote, attribution, company, is_published</w:t>
            </w:r>
          </w:p>
        </w:tc>
        <w:tc>
          <w:tcPr>
            <w:tcW w:w="5060" w:type="dxa"/>
            <w:vAlign w:val="center"/>
          </w:tcPr>
          <w:p>
            <w:pPr>
              <w:spacing w:after="0"/>
            </w:pPr>
            <w:r>
              <w:rPr>
                <w:color w:val="2B2620"/>
                <w:sz w:val="20"/>
                <w:szCs w:val="20"/>
              </w:rPr>
              <w:t xml:space="preserve">Feeds the homepage testimonial slot and a future testimonials page</w:t>
            </w:r>
          </w:p>
        </w:tc>
      </w:tr>
      <w:tr>
        <w:tc>
          <w:tcPr>
            <w:tcW w:w="1650" w:type="dxa"/>
            <w:vAlign w:val="center"/>
          </w:tcPr>
          <w:p>
            <w:pPr>
              <w:spacing w:after="0"/>
            </w:pPr>
            <w:r>
              <w:rPr>
                <w:b/>
                <w:color w:val="2B2620"/>
                <w:sz w:val="20"/>
                <w:szCs w:val="20"/>
              </w:rPr>
              <w:t xml:space="preserve">case_studies</w:t>
            </w:r>
          </w:p>
        </w:tc>
        <w:tc>
          <w:tcPr>
            <w:tcW w:w="2650" w:type="dxa"/>
            <w:vAlign w:val="center"/>
          </w:tcPr>
          <w:p>
            <w:pPr>
              <w:spacing w:after="0"/>
            </w:pPr>
            <w:r>
              <w:rPr>
                <w:color w:val="2B2620"/>
                <w:sz w:val="20"/>
                <w:szCs w:val="20"/>
              </w:rPr>
              <w:t xml:space="preserve">title, slug, summary, body, is_published</w:t>
            </w:r>
          </w:p>
        </w:tc>
        <w:tc>
          <w:tcPr>
            <w:tcW w:w="5060" w:type="dxa"/>
            <w:vAlign w:val="center"/>
          </w:tcPr>
          <w:p>
            <w:pPr>
              <w:spacing w:after="0"/>
            </w:pPr>
            <w:r>
              <w:rPr>
                <w:color w:val="2B2620"/>
                <w:sz w:val="20"/>
                <w:szCs w:val="20"/>
              </w:rPr>
              <w:t xml:space="preserve">Feeds a future case-studies page</w:t>
            </w:r>
          </w:p>
        </w:tc>
      </w:tr>
      <w:tr>
        <w:tc>
          <w:tcPr>
            <w:tcW w:w="1650" w:type="dxa"/>
            <w:vAlign w:val="center"/>
          </w:tcPr>
          <w:p>
            <w:pPr>
              <w:spacing w:after="0"/>
            </w:pPr>
            <w:r>
              <w:rPr>
                <w:b/>
                <w:color w:val="2B2620"/>
                <w:sz w:val="20"/>
                <w:szCs w:val="20"/>
              </w:rPr>
              <w:t xml:space="preserve">pricing_tiers</w:t>
            </w:r>
          </w:p>
        </w:tc>
        <w:tc>
          <w:tcPr>
            <w:tcW w:w="2650" w:type="dxa"/>
            <w:vAlign w:val="center"/>
          </w:tcPr>
          <w:p>
            <w:pPr>
              <w:spacing w:after="0"/>
            </w:pPr>
            <w:r>
              <w:rPr>
                <w:color w:val="2B2620"/>
                <w:sz w:val="20"/>
                <w:szCs w:val="20"/>
              </w:rPr>
              <w:t xml:space="preserve">label, description, base_amount, notes, is_active</w:t>
            </w:r>
          </w:p>
        </w:tc>
        <w:tc>
          <w:tcPr>
            <w:tcW w:w="5060" w:type="dxa"/>
            <w:vAlign w:val="center"/>
          </w:tcPr>
          <w:p>
            <w:pPr>
              <w:spacing w:after="0"/>
            </w:pPr>
            <w:r>
              <w:rPr>
                <w:color w:val="2B2620"/>
                <w:sz w:val="20"/>
                <w:szCs w:val="20"/>
              </w:rPr>
              <w:t xml:space="preserve">Backs the gated pricing pages below</w:t>
            </w:r>
          </w:p>
        </w:tc>
      </w:tr>
      <w:tr>
        <w:tc>
          <w:tcPr>
            <w:tcW w:w="1650" w:type="dxa"/>
            <w:vAlign w:val="center"/>
          </w:tcPr>
          <w:p>
            <w:pPr>
              <w:spacing w:after="0"/>
            </w:pPr>
            <w:r>
              <w:rPr>
                <w:b/>
                <w:color w:val="2B2620"/>
                <w:sz w:val="20"/>
                <w:szCs w:val="20"/>
              </w:rPr>
              <w:t xml:space="preserve">users</w:t>
            </w:r>
          </w:p>
        </w:tc>
        <w:tc>
          <w:tcPr>
            <w:tcW w:w="2650" w:type="dxa"/>
            <w:vAlign w:val="center"/>
          </w:tcPr>
          <w:p>
            <w:pPr>
              <w:spacing w:after="0"/>
            </w:pPr>
            <w:r>
              <w:rPr>
                <w:color w:val="2B2620"/>
                <w:sz w:val="20"/>
                <w:szCs w:val="20"/>
              </w:rPr>
              <w:t xml:space="preserve">name, email, password, two_factor_secret</w:t>
            </w:r>
          </w:p>
        </w:tc>
        <w:tc>
          <w:tcPr>
            <w:tcW w:w="5060" w:type="dxa"/>
            <w:vAlign w:val="center"/>
          </w:tcPr>
          <w:p>
            <w:pPr>
              <w:spacing w:after="0"/>
            </w:pPr>
            <w:r>
              <w:rPr>
                <w:color w:val="2B2620"/>
                <w:sz w:val="20"/>
                <w:szCs w:val="20"/>
              </w:rPr>
              <w:t xml:space="preserve">Filament admin accounts for Analise and Kelsey</w:t>
            </w:r>
          </w:p>
        </w:tc>
      </w:tr>
    </w:tbl>
    <w:p>
      <w:pPr>
        <w:spacing w:after="160"/>
      </w:pPr>
      <w:r>
        <w:t xml:space="preserve"/>
      </w:r>
    </w:p>
    <w:p>
      <w:pPr>
        <w:pStyle w:val="Heading3"/>
        <w:keepNext/>
      </w:pPr>
      <w:r>
        <w:t xml:space="preserve">Gated pricing pages</w:t>
      </w:r>
    </w:p>
    <w:p>
      <w:r>
        <w:t xml:space="preserve">The brief asks for pricing pages that are shareable but not public and not indexed. Rather than one shared password (which, once shared, can't be un-shared), use Laravel's signed URLs: URL::temporarySignedRoute() issues a unique, expiring link per prospect. That link can be revoked, it's trackable (you know who opened it and when), and it naturally expires instead of living on forever in someone's inbox. Whichever approach ships, the route should always send X-Robots-Tag: noindex and a matching &lt;meta name="robots" content="noindex"&gt; tag.</w:t>
      </w:r>
    </w:p>
    <w:p>
      <w:pPr>
        <w:pStyle w:val="Heading3"/>
        <w:keepNext/>
      </w:pPr>
      <w:r>
        <w:t xml:space="preserve">Lead form flow</w:t>
      </w:r>
    </w:p>
    <w:p>
      <w:r>
        <w:t xml:space="preserve">A FormRequest validates the submission → a Lead row is stored → a queued Mail notifies Analise and Kelsey → a queued autoresponder confirms receipt to the prospect. Both emails go through the queue (Redis-backed), processed by a Supervisor-managed worker, so a slow mail provider never makes a prospect wait on the form submission itself.</w:t>
      </w:r>
    </w:p>
    <w:p>
      <w:pPr>
        <w:pStyle w:val="CodeBlock"/>
        <w:shd w:val="clear" w:color="auto" w:fill="F1EFE9"/>
        <w:spacing w:before="40" w:after="40"/>
      </w:pPr>
      <w:r>
        <w:rPr>
          <w:rFonts w:ascii="Consolas" w:hAnsi="Consolas" w:cs="Consolas"/>
          <w:sz w:val="19.0"/>
          <w:szCs w:val="19.0"/>
        </w:rPr>
        <w:t xml:space="preserve">php artisan queue:work redis --tries=3 --backoff=30 --max-time=3600</w:t>
      </w:r>
    </w:p>
    <w:p>
      <w:pPr>
        <w:pStyle w:val="Heading1"/>
        <w:keepNext/>
      </w:pPr>
      <w:r>
        <w:t xml:space="preserve">9. Performance &amp; Caching Configuration</w:t>
      </w:r>
    </w:p>
    <w:p>
      <w:r>
        <w:t xml:space="preserve">Tuned to the actual box: 8 GB RAM total, ~2.5 GB reserved for OS + CyberPanel + MariaDB + Redis, leaving roughly 5.5 GB (5632 MB) for PHP-FPM. At ~80 MB per worker (a safe average for a Laravel request under OPcache, including Filament's heavier admin pages), that's headroom for about 70 concurrent workers — the pool below is set conservatively below that ceiling.</w:t>
      </w:r>
    </w:p>
    <w:p>
      <w:pPr>
        <w:pStyle w:val="Heading3"/>
        <w:keepNext/>
      </w:pPr>
      <w:r>
        <w:t xml:space="preserve">PHP-FPM pool (site-specific pool, not the CyberPanel default)</w:t>
      </w:r>
    </w:p>
    <w:p>
      <w:pPr>
        <w:pStyle w:val="CodeBlock"/>
        <w:shd w:val="clear" w:color="auto" w:fill="F1EFE9"/>
        <w:spacing w:before="40" w:after="0"/>
      </w:pPr>
      <w:r>
        <w:rPr>
          <w:rFonts w:ascii="Consolas" w:hAnsi="Consolas" w:cs="Consolas"/>
          <w:sz w:val="19.0"/>
          <w:szCs w:val="19.0"/>
        </w:rPr>
        <w:t xml:space="preserve">pm = dynamic</w:t>
      </w:r>
    </w:p>
    <w:p>
      <w:pPr>
        <w:pStyle w:val="CodeBlock"/>
        <w:shd w:val="clear" w:color="auto" w:fill="F1EFE9"/>
        <w:spacing w:before="0" w:after="0"/>
      </w:pPr>
      <w:r>
        <w:rPr>
          <w:rFonts w:ascii="Consolas" w:hAnsi="Consolas" w:cs="Consolas"/>
          <w:sz w:val="19.0"/>
          <w:szCs w:val="19.0"/>
        </w:rPr>
        <w:t xml:space="preserve">pm.max_children = 60</w:t>
      </w:r>
    </w:p>
    <w:p>
      <w:pPr>
        <w:pStyle w:val="CodeBlock"/>
        <w:shd w:val="clear" w:color="auto" w:fill="F1EFE9"/>
        <w:spacing w:before="0" w:after="0"/>
      </w:pPr>
      <w:r>
        <w:rPr>
          <w:rFonts w:ascii="Consolas" w:hAnsi="Consolas" w:cs="Consolas"/>
          <w:sz w:val="19.0"/>
          <w:szCs w:val="19.0"/>
        </w:rPr>
        <w:t xml:space="preserve">pm.start_servers = 10</w:t>
      </w:r>
    </w:p>
    <w:p>
      <w:pPr>
        <w:pStyle w:val="CodeBlock"/>
        <w:shd w:val="clear" w:color="auto" w:fill="F1EFE9"/>
        <w:spacing w:before="0" w:after="0"/>
      </w:pPr>
      <w:r>
        <w:rPr>
          <w:rFonts w:ascii="Consolas" w:hAnsi="Consolas" w:cs="Consolas"/>
          <w:sz w:val="19.0"/>
          <w:szCs w:val="19.0"/>
        </w:rPr>
        <w:t xml:space="preserve">pm.min_spare_servers = 8</w:t>
      </w:r>
    </w:p>
    <w:p>
      <w:pPr>
        <w:pStyle w:val="CodeBlock"/>
        <w:shd w:val="clear" w:color="auto" w:fill="F1EFE9"/>
        <w:spacing w:before="0" w:after="0"/>
      </w:pPr>
      <w:r>
        <w:rPr>
          <w:rFonts w:ascii="Consolas" w:hAnsi="Consolas" w:cs="Consolas"/>
          <w:sz w:val="19.0"/>
          <w:szCs w:val="19.0"/>
        </w:rPr>
        <w:t xml:space="preserve">pm.max_spare_servers = 20</w:t>
      </w:r>
    </w:p>
    <w:p>
      <w:pPr>
        <w:pStyle w:val="CodeBlock"/>
        <w:shd w:val="clear" w:color="auto" w:fill="F1EFE9"/>
        <w:spacing w:before="0" w:after="40"/>
      </w:pPr>
      <w:r>
        <w:rPr>
          <w:rFonts w:ascii="Consolas" w:hAnsi="Consolas" w:cs="Consolas"/>
          <w:sz w:val="19.0"/>
          <w:szCs w:val="19.0"/>
        </w:rPr>
        <w:t xml:space="preserve">pm.max_requests = 500        ; recycle workers periodically to shed memory creep</w:t>
      </w:r>
    </w:p>
    <w:p>
      <w:pPr>
        <w:pStyle w:val="Heading3"/>
        <w:keepNext/>
      </w:pPr>
      <w:r>
        <w:t xml:space="preserve">OPcache</w:t>
      </w:r>
    </w:p>
    <w:p>
      <w:pPr>
        <w:pStyle w:val="CodeBlock"/>
        <w:shd w:val="clear" w:color="auto" w:fill="F1EFE9"/>
        <w:spacing w:before="40" w:after="0"/>
      </w:pPr>
      <w:r>
        <w:rPr>
          <w:rFonts w:ascii="Consolas" w:hAnsi="Consolas" w:cs="Consolas"/>
          <w:sz w:val="19.0"/>
          <w:szCs w:val="19.0"/>
        </w:rPr>
        <w:t xml:space="preserve">opcache.memory_consumption = 256</w:t>
      </w:r>
    </w:p>
    <w:p>
      <w:pPr>
        <w:pStyle w:val="CodeBlock"/>
        <w:shd w:val="clear" w:color="auto" w:fill="F1EFE9"/>
        <w:spacing w:before="0" w:after="0"/>
      </w:pPr>
      <w:r>
        <w:rPr>
          <w:rFonts w:ascii="Consolas" w:hAnsi="Consolas" w:cs="Consolas"/>
          <w:sz w:val="19.0"/>
          <w:szCs w:val="19.0"/>
        </w:rPr>
        <w:t xml:space="preserve">opcache.interned_strings_buffer = 16</w:t>
      </w:r>
    </w:p>
    <w:p>
      <w:pPr>
        <w:pStyle w:val="CodeBlock"/>
        <w:shd w:val="clear" w:color="auto" w:fill="F1EFE9"/>
        <w:spacing w:before="0" w:after="0"/>
      </w:pPr>
      <w:r>
        <w:rPr>
          <w:rFonts w:ascii="Consolas" w:hAnsi="Consolas" w:cs="Consolas"/>
          <w:sz w:val="19.0"/>
          <w:szCs w:val="19.0"/>
        </w:rPr>
        <w:t xml:space="preserve">opcache.max_accelerated_files = 20000</w:t>
      </w:r>
    </w:p>
    <w:p>
      <w:pPr>
        <w:pStyle w:val="CodeBlock"/>
        <w:shd w:val="clear" w:color="auto" w:fill="F1EFE9"/>
        <w:spacing w:before="0" w:after="40"/>
      </w:pPr>
      <w:r>
        <w:rPr>
          <w:rFonts w:ascii="Consolas" w:hAnsi="Consolas" w:cs="Consolas"/>
          <w:sz w:val="19.0"/>
          <w:szCs w:val="19.0"/>
        </w:rPr>
        <w:t xml:space="preserve">opcache.validate_timestamps = 0   ; production only — reset opcache explicitly on each deploy</w:t>
      </w:r>
    </w:p>
    <w:p>
      <w:pPr>
        <w:pStyle w:val="Heading3"/>
        <w:keepNext/>
      </w:pPr>
      <w:r>
        <w:t xml:space="preserve">MariaDB</w:t>
      </w:r>
    </w:p>
    <w:p>
      <w:pPr>
        <w:pStyle w:val="CodeBlock"/>
        <w:shd w:val="clear" w:color="auto" w:fill="F1EFE9"/>
        <w:spacing w:before="40" w:after="0"/>
      </w:pPr>
      <w:r>
        <w:rPr>
          <w:rFonts w:ascii="Consolas" w:hAnsi="Consolas" w:cs="Consolas"/>
          <w:sz w:val="19.0"/>
          <w:szCs w:val="19.0"/>
        </w:rPr>
        <w:t xml:space="preserve">innodb_buffer_pool_size = 1024M</w:t>
      </w:r>
    </w:p>
    <w:p>
      <w:pPr>
        <w:pStyle w:val="CodeBlock"/>
        <w:shd w:val="clear" w:color="auto" w:fill="F1EFE9"/>
        <w:spacing w:before="0" w:after="0"/>
      </w:pPr>
      <w:r>
        <w:rPr>
          <w:rFonts w:ascii="Consolas" w:hAnsi="Consolas" w:cs="Consolas"/>
          <w:sz w:val="19.0"/>
          <w:szCs w:val="19.0"/>
        </w:rPr>
        <w:t xml:space="preserve">max_connections = 100</w:t>
      </w:r>
    </w:p>
    <w:p>
      <w:pPr>
        <w:pStyle w:val="CodeBlock"/>
        <w:shd w:val="clear" w:color="auto" w:fill="F1EFE9"/>
        <w:spacing w:before="0" w:after="40"/>
      </w:pPr>
      <w:r>
        <w:rPr>
          <w:rFonts w:ascii="Consolas" w:hAnsi="Consolas" w:cs="Consolas"/>
          <w:sz w:val="19.0"/>
          <w:szCs w:val="19.0"/>
        </w:rPr>
        <w:t xml:space="preserve">slow_query_log = 1</w:t>
      </w:r>
    </w:p>
    <w:p>
      <w:pPr>
        <w:pStyle w:val="Heading3"/>
        <w:keepNext/>
      </w:pPr>
      <w:r>
        <w:t xml:space="preserve">Redis</w:t>
      </w:r>
    </w:p>
    <w:p>
      <w:r>
        <w:t xml:space="preserve">Run one Redis instance, three logical databases: db0 for the Laravel cache (maxmemory-policy allkeys-lru, capped around 256 MB), db1 for sessions, db2 for the queue (noeviction — a queued job should never be silently dropped for memory pressure).</w:t>
      </w:r>
    </w:p>
    <w:p>
      <w:pPr>
        <w:pStyle w:val="Heading3"/>
        <w:keepNext/>
      </w:pPr>
      <w:r>
        <w:t xml:space="preserve">Static assets</w:t>
      </w:r>
    </w:p>
    <w:p>
      <w:r>
        <w:t xml:space="preserve">Serve CSS/JS/images with far-future cache headers, and put Cloudflare in front of the site (Section 3) so most repeat asset requests never reach the origin at all — the 200 Mbit/s port won't be the constraint either way, but it's one less thing for the origin to do.</w:t>
      </w:r>
    </w:p>
    <w:p>
      <w:pPr>
        <w:pStyle w:val="Heading1"/>
        <w:keepNext/>
      </w:pPr>
      <w:r>
        <w:t xml:space="preserve">10. Backup &amp; Disaster Recovery</w:t>
      </w:r>
    </w:p>
    <w:p>
      <w:r>
        <w:t xml:space="preserve">Three layers, because the included snapshot alone is not a backup strategy:</w:t>
      </w:r>
    </w:p>
    <w:p>
      <w:pPr>
        <w:pStyle w:val="ListParagraph"/>
        <w:numPr>
          <w:ilvl w:val="0"/>
          <w:numId w:val="2"/>
        </w:numPr>
        <w:spacing w:after="60"/>
      </w:pPr>
      <w:r>
        <w:t xml:space="preserve">The 1 included snapshot — a pre-deploy safety net only ("take a snapshot, then deploy"). It lives on the same host, so it doesn't survive a host-level failure and shouldn't be relied on for anything else.</w:t>
      </w:r>
    </w:p>
    <w:p>
      <w:pPr>
        <w:pStyle w:val="ListParagraph"/>
        <w:numPr>
          <w:ilvl w:val="0"/>
          <w:numId w:val="2"/>
        </w:numPr>
        <w:spacing w:after="60"/>
      </w:pPr>
      <w:r>
        <w:t xml:space="preserve">CyberPanel's scheduled backup (Backup &gt; Create Destination), run daily, pushed to an offsite destination — S3, Backblaze B2, or Google Drive — retained 14 days.</w:t>
      </w:r>
    </w:p>
    <w:p>
      <w:pPr>
        <w:pStyle w:val="ListParagraph"/>
        <w:numPr>
          <w:ilvl w:val="0"/>
          <w:numId w:val="2"/>
        </w:numPr>
        <w:spacing w:after="60"/>
      </w:pPr>
      <w:r>
        <w:t xml:space="preserve">A lightweight nightly mysqldump cron piped straight to the same offsite destination, kept separate from the full-site backup. The database — specifically the leads table — is the one truly irreplaceable asset on this whole site; it gets its own extra safety net.</w:t>
      </w:r>
    </w:p>
    <w:p>
      <w:r>
        <w:t xml:space="preserve">Plain-language target: worst case, lose less than 24 hours of leads, and be back online within about an hour.</w:t>
      </w:r>
    </w:p>
    <w:p>
      <w:pPr>
        <w:pStyle w:val="Heading1"/>
        <w:keepNext/>
      </w:pPr>
      <w:r>
        <w:t xml:space="preserve">11. Monitoring &amp; Observability</w:t>
      </w:r>
    </w:p>
    <w:p>
      <w:pPr>
        <w:pStyle w:val="ListParagraph"/>
        <w:numPr>
          <w:ilvl w:val="0"/>
          <w:numId w:val="1"/>
        </w:numPr>
        <w:spacing w:after="60"/>
      </w:pPr>
      <w:r>
        <w:t xml:space="preserve">External uptime check (UptimeRobot or Better Uptime) hitting both the homepage and the lead-form POST endpoint — a form that silently 500s is worse than a page that's down, because nobody notices.</w:t>
      </w:r>
    </w:p>
    <w:p>
      <w:pPr>
        <w:pStyle w:val="ListParagraph"/>
        <w:numPr>
          <w:ilvl w:val="0"/>
          <w:numId w:val="1"/>
        </w:numPr>
        <w:spacing w:after="60"/>
      </w:pPr>
      <w:r>
        <w:t xml:space="preserve">Error tracking (Sentry, or Laravel's log channel routed to a hosted log service) so a broken form is caught by an alert, not by a prospect who never heard back.</w:t>
      </w:r>
    </w:p>
    <w:p>
      <w:pPr>
        <w:pStyle w:val="ListParagraph"/>
        <w:numPr>
          <w:ilvl w:val="0"/>
          <w:numId w:val="1"/>
        </w:numPr>
        <w:spacing w:after="60"/>
      </w:pPr>
      <w:r>
        <w:t xml:space="preserve">Server-level resource graphs from CyberPanel's own dashboard, or Netdata if more detail is wanted.</w:t>
      </w:r>
    </w:p>
    <w:p>
      <w:pPr>
        <w:pStyle w:val="Heading1"/>
        <w:keepNext/>
      </w:pPr>
      <w:r>
        <w:t xml:space="preserve">12. Deployment Pipeline (CI/CD)</w:t>
      </w:r>
    </w:p>
    <w:p>
      <w:r>
        <w:t xml:space="preserve">GitHub Actions, triggered on push to main:</w:t>
      </w:r>
    </w:p>
    <w:p>
      <w:pPr>
        <w:pStyle w:val="ListParagraph"/>
        <w:numPr>
          <w:ilvl w:val="0"/>
          <w:numId w:val="2"/>
        </w:numPr>
        <w:spacing w:after="60"/>
      </w:pPr>
      <w:r>
        <w:t xml:space="preserve">Run the test suite.</w:t>
      </w:r>
    </w:p>
    <w:p>
      <w:pPr>
        <w:pStyle w:val="ListParagraph"/>
        <w:numPr>
          <w:ilvl w:val="0"/>
          <w:numId w:val="2"/>
        </w:numPr>
        <w:spacing w:after="60"/>
      </w:pPr>
      <w:r>
        <w:t xml:space="preserve">SSH into the server; pull the new commit into releases/&lt;timestamp&gt;.</w:t>
      </w:r>
    </w:p>
    <w:p>
      <w:pPr>
        <w:pStyle w:val="ListParagraph"/>
        <w:numPr>
          <w:ilvl w:val="0"/>
          <w:numId w:val="2"/>
        </w:numPr>
        <w:spacing w:after="60"/>
      </w:pPr>
      <w:r>
        <w:t xml:space="preserve">composer install --no-dev --optimize-autoloader</w:t>
      </w:r>
    </w:p>
    <w:p>
      <w:pPr>
        <w:pStyle w:val="ListParagraph"/>
        <w:numPr>
          <w:ilvl w:val="0"/>
          <w:numId w:val="2"/>
        </w:numPr>
        <w:spacing w:after="60"/>
      </w:pPr>
      <w:r>
        <w:t xml:space="preserve">Build front-end assets.</w:t>
      </w:r>
    </w:p>
    <w:p>
      <w:pPr>
        <w:pStyle w:val="ListParagraph"/>
        <w:numPr>
          <w:ilvl w:val="0"/>
          <w:numId w:val="2"/>
        </w:numPr>
        <w:spacing w:after="60"/>
      </w:pPr>
      <w:r>
        <w:t xml:space="preserve">php artisan migrate --force</w:t>
      </w:r>
    </w:p>
    <w:p>
      <w:pPr>
        <w:pStyle w:val="ListParagraph"/>
        <w:numPr>
          <w:ilvl w:val="0"/>
          <w:numId w:val="2"/>
        </w:numPr>
        <w:spacing w:after="60"/>
      </w:pPr>
      <w:r>
        <w:t xml:space="preserve">Swap the current symlink to the new release (atomic — zero downtime).</w:t>
      </w:r>
    </w:p>
    <w:p>
      <w:pPr>
        <w:pStyle w:val="ListParagraph"/>
        <w:numPr>
          <w:ilvl w:val="0"/>
          <w:numId w:val="2"/>
        </w:numPr>
        <w:spacing w:after="60"/>
      </w:pPr>
      <w:r>
        <w:t xml:space="preserve">php artisan queue:restart and reset OPcache.</w:t>
      </w:r>
    </w:p>
    <w:p>
      <w:r>
        <w:t xml:space="preserve">Rollback is just repointing current back to the previous release folder — near-instant, and doesn't depend on the backup layer above.</w:t>
      </w:r>
    </w:p>
    <w:p>
      <w:pPr>
        <w:pStyle w:val="Heading1"/>
        <w:keepNext/>
      </w:pPr>
      <w:r>
        <w:t xml:space="preserve">13. Domain, DNS &amp; Email Deliverability</w:t>
      </w:r>
    </w:p>
    <w:p>
      <w:r>
        <w:t xml:space="preserve">Use Cloudflare for DNS (proxied) ahead of CyberPanel's built-in PowerDNS — it adds a free CDN, WAF, and DDoS layer in front of the VPS, so the origin never has to absorb a bot flood directly.</w:t>
      </w:r>
    </w:p>
    <w:p>
      <w:r>
        <w:t xml:space="preserve">Do not self-host outbound mail for lead notifications and autoresponders. Use Postmark or Amazon SES instead. Deliverability is the whole point of the site's most important feature — a lead notification that lands in Analise's spam folder, or an autoresponder that never reaches the prospect, defeats the entire funnel. Reserve CyberPanel's own mail stack (Postfix/Dovecot/Rspamd) only for the case where Analise actually wants hosted @analiseroland.com inboxes — and if so, CyberPanel's SPF/DKIM/DMARC setup wizard should be run in full, not left partial.</w:t>
      </w:r>
    </w:p>
    <w:p>
      <w:pPr>
        <w:pStyle w:val="Heading1"/>
        <w:keepNext/>
      </w:pPr>
      <w:r>
        <w:t xml:space="preserve">14. Go-Live Checklist</w:t>
      </w:r>
    </w:p>
    <w:p>
      <w:pPr>
        <w:pStyle w:val="ListParagraph"/>
        <w:numPr>
          <w:ilvl w:val="0"/>
          <w:numId w:val="2"/>
        </w:numPr>
        <w:spacing w:after="60"/>
      </w:pPr>
      <w:r>
        <w:t xml:space="preserve">SSH hardened: key-only auth, root login disabled, custom SSH port open in the firewall.</w:t>
      </w:r>
    </w:p>
    <w:p>
      <w:pPr>
        <w:pStyle w:val="ListParagraph"/>
        <w:numPr>
          <w:ilvl w:val="0"/>
          <w:numId w:val="2"/>
        </w:numPr>
        <w:spacing w:after="60"/>
      </w:pPr>
      <w:r>
        <w:t xml:space="preserve">CyberPanel installed; site created with docroot at Laravel's public/, not the project root.</w:t>
      </w:r>
    </w:p>
    <w:p>
      <w:pPr>
        <w:pStyle w:val="ListParagraph"/>
        <w:numPr>
          <w:ilvl w:val="0"/>
          <w:numId w:val="2"/>
        </w:numPr>
        <w:spacing w:after="60"/>
      </w:pPr>
      <w:r>
        <w:t xml:space="preserve">SSL issued and HTTPS forced; HSTS header present.</w:t>
      </w:r>
    </w:p>
    <w:p>
      <w:pPr>
        <w:pStyle w:val="ListParagraph"/>
        <w:numPr>
          <w:ilvl w:val="0"/>
          <w:numId w:val="2"/>
        </w:numPr>
        <w:spacing w:after="60"/>
      </w:pPr>
      <w:r>
        <w:t xml:space="preserve">CSF firewall rules confirmed (only 80/443/SSH-port/admin-port reachable).</w:t>
      </w:r>
    </w:p>
    <w:p>
      <w:pPr>
        <w:pStyle w:val="ListParagraph"/>
        <w:numPr>
          <w:ilvl w:val="0"/>
          <w:numId w:val="2"/>
        </w:numPr>
        <w:spacing w:after="60"/>
      </w:pPr>
      <w:r>
        <w:t xml:space="preserve">ModSecurity running in blocking mode after a clean detection-mode trial.</w:t>
      </w:r>
    </w:p>
    <w:p>
      <w:pPr>
        <w:pStyle w:val="ListParagraph"/>
        <w:numPr>
          <w:ilvl w:val="0"/>
          <w:numId w:val="2"/>
        </w:numPr>
        <w:spacing w:after="60"/>
      </w:pPr>
      <w:r>
        <w:t xml:space="preserve">2FA enabled on the CyberPanel admin account.</w:t>
      </w:r>
    </w:p>
    <w:p>
      <w:pPr>
        <w:pStyle w:val="ListParagraph"/>
        <w:numPr>
          <w:ilvl w:val="0"/>
          <w:numId w:val="2"/>
        </w:numPr>
        <w:spacing w:after="60"/>
      </w:pPr>
      <w:r>
        <w:t xml:space="preserve">PHP-FPM pool and OPcache tuned per Section 9 (not left on CyberPanel defaults).</w:t>
      </w:r>
    </w:p>
    <w:p>
      <w:pPr>
        <w:pStyle w:val="ListParagraph"/>
        <w:numPr>
          <w:ilvl w:val="0"/>
          <w:numId w:val="2"/>
        </w:numPr>
        <w:spacing w:after="60"/>
      </w:pPr>
      <w:r>
        <w:t xml:space="preserve">.env permissions at 640; confirmed unreachable over HTTP.</w:t>
      </w:r>
    </w:p>
    <w:p>
      <w:pPr>
        <w:pStyle w:val="ListParagraph"/>
        <w:numPr>
          <w:ilvl w:val="0"/>
          <w:numId w:val="2"/>
        </w:numPr>
        <w:spacing w:after="60"/>
      </w:pPr>
      <w:r>
        <w:t xml:space="preserve">Daily offsite backup destination configured and one manual backup verified restorable.</w:t>
      </w:r>
    </w:p>
    <w:p>
      <w:pPr>
        <w:pStyle w:val="ListParagraph"/>
        <w:numPr>
          <w:ilvl w:val="0"/>
          <w:numId w:val="2"/>
        </w:numPr>
        <w:spacing w:after="60"/>
      </w:pPr>
      <w:r>
        <w:t xml:space="preserve">Lead form tested end-to-end: submission stores a Lead row, notification email arrives, autoresponder arrives, and it isn't in spam.</w:t>
      </w:r>
    </w:p>
    <w:p>
      <w:pPr>
        <w:pStyle w:val="ListParagraph"/>
        <w:numPr>
          <w:ilvl w:val="0"/>
          <w:numId w:val="2"/>
        </w:numPr>
        <w:spacing w:after="60"/>
      </w:pPr>
      <w:r>
        <w:t xml:space="preserve">Gated pricing route confirmed noindex and unreachable without a valid signed link.</w:t>
      </w:r>
    </w:p>
    <w:p>
      <w:pPr>
        <w:pStyle w:val="ListParagraph"/>
        <w:numPr>
          <w:ilvl w:val="0"/>
          <w:numId w:val="2"/>
        </w:numPr>
        <w:spacing w:after="60"/>
      </w:pPr>
      <w:r>
        <w:t xml:space="preserve">Uptime monitor and error tracking both live and alerting to a real inbox.</w:t>
      </w:r>
    </w:p>
    <w:p>
      <w:pPr>
        <w:pStyle w:val="ListParagraph"/>
        <w:numPr>
          <w:ilvl w:val="0"/>
          <w:numId w:val="2"/>
        </w:numPr>
        <w:spacing w:after="60"/>
      </w:pPr>
      <w:r>
        <w:t xml:space="preserve">DNS cut over through Cloudflare (proxied), TTLs lowered beforehand to make the cutover fast.</w:t>
      </w:r>
    </w:p>
    <w:p>
      <w:pPr>
        <w:pStyle w:val="Heading1"/>
        <w:keepNext/>
      </w:pPr>
      <w:r>
        <w:t xml:space="preserve">15. Ongoing Maintenance Schedule</w:t>
      </w:r>
    </w:p>
    <w:tbl>
      <w:tblPr>
        <w:tblStyle w:val="PlanTable"/>
        <w:tblW w:w="936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CellMar>
          <w:top w:w="80" w:type="dxa"/>
          <w:left w:w="120" w:type="dxa"/>
          <w:bottom w:w="80" w:type="dxa"/>
          <w:right w:w="120" w:type="dxa"/>
        </w:tblCellMar>
      </w:tblPr>
      <w:tblGrid>
        <w:gridCol w:w="1600"/>
        <w:gridCol w:w="7760"/>
      </w:tblGrid>
      <w:tr>
        <w:tc>
          <w:tcPr>
            <w:tcW w:w="1600" w:type="dxa"/>
            <w:shd w:val="clear" w:color="auto" w:fill="1F3864"/>
            <w:vAlign w:val="center"/>
          </w:tcPr>
          <w:p>
            <w:pPr>
              <w:spacing w:after="0"/>
            </w:pPr>
            <w:r>
              <w:rPr>
                <w:b/>
                <w:color w:val="FFFFFF"/>
                <w:sz w:val="20"/>
                <w:szCs w:val="20"/>
              </w:rPr>
              <w:t xml:space="preserve">Cadence</w:t>
            </w:r>
          </w:p>
        </w:tc>
        <w:tc>
          <w:tcPr>
            <w:tcW w:w="7760" w:type="dxa"/>
            <w:shd w:val="clear" w:color="auto" w:fill="1F3864"/>
            <w:vAlign w:val="center"/>
          </w:tcPr>
          <w:p>
            <w:pPr>
              <w:spacing w:after="0"/>
            </w:pPr>
            <w:r>
              <w:rPr>
                <w:b/>
                <w:color w:val="FFFFFF"/>
                <w:sz w:val="20"/>
                <w:szCs w:val="20"/>
              </w:rPr>
              <w:t xml:space="preserve">Task</w:t>
            </w:r>
          </w:p>
        </w:tc>
      </w:tr>
      <w:tr>
        <w:tc>
          <w:tcPr>
            <w:tcW w:w="1600" w:type="dxa"/>
            <w:vAlign w:val="center"/>
          </w:tcPr>
          <w:p>
            <w:pPr>
              <w:spacing w:after="0"/>
            </w:pPr>
            <w:r>
              <w:rPr>
                <w:b/>
                <w:color w:val="2B2620"/>
                <w:sz w:val="20"/>
                <w:szCs w:val="20"/>
              </w:rPr>
              <w:t xml:space="preserve">Daily</w:t>
            </w:r>
          </w:p>
        </w:tc>
        <w:tc>
          <w:tcPr>
            <w:tcW w:w="7760" w:type="dxa"/>
            <w:vAlign w:val="center"/>
          </w:tcPr>
          <w:p>
            <w:pPr>
              <w:spacing w:after="0"/>
            </w:pPr>
            <w:r>
              <w:rPr>
                <w:color w:val="2B2620"/>
                <w:sz w:val="20"/>
                <w:szCs w:val="20"/>
              </w:rPr>
              <w:t xml:space="preserve">Automated offsite backup runs (verify the job, don't just trust it silently); review uptime/error alerts.</w:t>
            </w:r>
          </w:p>
        </w:tc>
      </w:tr>
      <w:tr>
        <w:tc>
          <w:tcPr>
            <w:tcW w:w="1600" w:type="dxa"/>
            <w:vAlign w:val="center"/>
          </w:tcPr>
          <w:p>
            <w:pPr>
              <w:spacing w:after="0"/>
            </w:pPr>
            <w:r>
              <w:rPr>
                <w:b/>
                <w:color w:val="2B2620"/>
                <w:sz w:val="20"/>
                <w:szCs w:val="20"/>
              </w:rPr>
              <w:t xml:space="preserve">Weekly</w:t>
            </w:r>
          </w:p>
        </w:tc>
        <w:tc>
          <w:tcPr>
            <w:tcW w:w="7760" w:type="dxa"/>
            <w:vAlign w:val="center"/>
          </w:tcPr>
          <w:p>
            <w:pPr>
              <w:spacing w:after="0"/>
            </w:pPr>
            <w:r>
              <w:rPr>
                <w:color w:val="2B2620"/>
                <w:sz w:val="20"/>
                <w:szCs w:val="20"/>
              </w:rPr>
              <w:t xml:space="preserve">Malware scan; review CSF/ModSecurity logs for anything worth tightening; check the leads inbox for anything stuck unprocessed in the queue.</w:t>
            </w:r>
          </w:p>
        </w:tc>
      </w:tr>
      <w:tr>
        <w:tc>
          <w:tcPr>
            <w:tcW w:w="1600" w:type="dxa"/>
            <w:vAlign w:val="center"/>
          </w:tcPr>
          <w:p>
            <w:pPr>
              <w:spacing w:after="0"/>
            </w:pPr>
            <w:r>
              <w:rPr>
                <w:b/>
                <w:color w:val="2B2620"/>
                <w:sz w:val="20"/>
                <w:szCs w:val="20"/>
              </w:rPr>
              <w:t xml:space="preserve">Monthly</w:t>
            </w:r>
          </w:p>
        </w:tc>
        <w:tc>
          <w:tcPr>
            <w:tcW w:w="7760" w:type="dxa"/>
            <w:vAlign w:val="center"/>
          </w:tcPr>
          <w:p>
            <w:pPr>
              <w:spacing w:after="0"/>
            </w:pPr>
            <w:r>
              <w:rPr>
                <w:color w:val="2B2620"/>
                <w:sz w:val="20"/>
                <w:szCs w:val="20"/>
              </w:rPr>
              <w:t xml:space="preserve">OS security patches confirmed applied (unattended-upgrades should have handled most of this — spot-check); restore-test a backup onto a scratch environment.</w:t>
            </w:r>
          </w:p>
        </w:tc>
      </w:tr>
      <w:tr>
        <w:tc>
          <w:tcPr>
            <w:tcW w:w="1600" w:type="dxa"/>
            <w:vAlign w:val="center"/>
          </w:tcPr>
          <w:p>
            <w:pPr>
              <w:spacing w:after="0"/>
            </w:pPr>
            <w:r>
              <w:rPr>
                <w:b/>
                <w:color w:val="2B2620"/>
                <w:sz w:val="20"/>
                <w:szCs w:val="20"/>
              </w:rPr>
              <w:t xml:space="preserve">Quarterly</w:t>
            </w:r>
          </w:p>
        </w:tc>
        <w:tc>
          <w:tcPr>
            <w:tcW w:w="7760" w:type="dxa"/>
            <w:vAlign w:val="center"/>
          </w:tcPr>
          <w:p>
            <w:pPr>
              <w:spacing w:after="0"/>
            </w:pPr>
            <w:r>
              <w:rPr>
                <w:color w:val="2B2620"/>
                <w:sz w:val="20"/>
                <w:szCs w:val="20"/>
              </w:rPr>
              <w:t xml:space="preserve">Rotate SSH keys / review who has panel and SSH access; review PHP-FPM and MariaDB tuning against actual traffic; renew/verify SSL auto-renewal actually fired.</w:t>
            </w:r>
          </w:p>
        </w:tc>
      </w:tr>
    </w:tbl>
    <w:p>
      <w:pPr>
        <w:spacing w:after="160"/>
      </w:pPr>
      <w:r>
        <w:t xml:space="preserve"/>
      </w:r>
    </w:p>
    <w:p>
      <w:pPr>
        <w:pStyle w:val="Heading1"/>
        <w:keepNext/>
      </w:pPr>
      <w:r>
        <w:t xml:space="preserve">16. Future Scaling Path</w:t>
      </w:r>
    </w:p>
    <w:p>
      <w:r>
        <w:t xml:space="preserve">This box has substantial headroom for a lead-generation site — that day is far off. If it arrives (a large jump in case-study traffic, or the site growing well beyond one property), the natural next steps in order are: move MariaDB to a separate managed instance, move Redis off-box, and add a second application node behind a load balancer. None of that is a reason to over-provision now — it's a reason the architecture above (stateless app servers, external cache/queue-ready via Redis, DB already isolated in its own service) doesn't have to be redone later, just extended.</w:t>
      </w:r>
    </w:p>
    <w:p>
      <w:pPr>
        <w:sectPr>
          <w:headerReference w:type="default" r:id="rIdHdr"/>
          <w:footerReference w:type="default" r:id="rIdFtr"/>
          <w:pgSz w:w="12240" w:h="15840"/>
          <w:pgMar w:top="1440" w:right="1440" w:bottom="1440" w:left="1440" w:header="720" w:footer="720" w:gutter="0"/>
          <w:cols w:space="720"/>
        </w:sectPr>
      </w:pPr>
    </w:p>
  </w:body>
</w:document>
</file>

<file path=word/footer1.xml><?xml version="1.0" encoding="utf-8"?>
<w:ftr xmlns:w="http://schemas.openxmlformats.org/wordprocessingml/2006/main">
  <w:p>
    <w:pPr>
      <w:pStyle w:val="Footer"/>
      <w:jc w:val="center"/>
    </w:pPr>
    <w:r>
      <w:rPr>
        <w:sz w:val="16"/>
        <w:color w:val="6B5B60"/>
      </w:rPr>
      <w:t xml:space="preserve">Page </w:t>
    </w:r>
    <w:r>
      <w:fldChar w:fldCharType="begin"/>
    </w:r>
    <w:r>
      <w:instrText xml:space="preserve"> PAGE </w:instrText>
    </w:r>
    <w:r>
      <w:fldChar w:fldCharType="separate"/>
    </w:r>
    <w:r>
      <w:t>1</w:t>
    </w:r>
    <w:r>
      <w:fldChar w:fldCharType="end"/>
    </w:r>
    <w:r>
      <w:rPr>
        <w:sz w:val="16"/>
        <w:color w:val="6B5B60"/>
      </w:rP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pPr>
      <w:pStyle w:val="Header"/>
      <w:jc w:val="right"/>
    </w:pPr>
    <w:r>
      <w:rPr>
        <w:sz w:val="16"/>
        <w:color w:val="6B5B60"/>
      </w:rPr>
      <w:t xml:space="preserve">Analise Roland Advisory  —  Laravel &amp; Server Architecture Plan</w:t>
    </w:r>
  </w:p>
</w:hdr>
</file>

<file path=word/numbering.xml><?xml version="1.0" encoding="utf-8"?>
<w:numbering xmlns:w="http://schemas.openxmlformats.org/wordprocessingml/2006/main">
  <w:abstractNum w:abstractNumId="0">
    <w:lvl w:ilvl="0">
      <w:start w:val="1"/>
      <w:numFmt w:val="bullet"/>
      <w:lvlText w:val=""/>
      <w:lvlJc w:val="left"/>
      <w:pPr>
        <w:ind w:left="450" w:hanging="270"/>
      </w:pPr>
      <w:rPr>
        <w:rFonts w:ascii="Symbol" w:hAnsi="Symbol" w:hint="default"/>
        <w:color w:val="4A1520"/>
      </w:rPr>
    </w:lvl>
  </w:abstractNum>
  <w:abstractNum w:abstractNumId="1">
    <w:lvl w:ilvl="0">
      <w:start w:val="1"/>
      <w:numFmt w:val="decimal"/>
      <w:lvlText w:val="%1."/>
      <w:lvlJc w:val="left"/>
      <w:pPr>
        <w:ind w:left="450" w:hanging="270"/>
      </w:pPr>
      <w:rPr>
        <w:b/>
        <w:color w:val="4A1520"/>
      </w:r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88" w:lineRule="auto"/>
      </w:pPr>
    </w:pPrDefault>
  </w:docDefaults>
  <w:style w:type="paragraph" w:default="1" w:styleId="Normal">
    <w:name w:val="Normal"/>
    <w:rPr>
      <w:color w:val="2B2620"/>
    </w:rPr>
  </w:style>
  <w:style w:type="paragraph" w:styleId="Title">
    <w:name w:val="Title"/>
    <w:basedOn w:val="Normal"/>
    <w:qFormat/>
    <w:pPr>
      <w:spacing w:after="120"/>
    </w:pPr>
    <w:rPr>
      <w:rFonts w:ascii="Georgia" w:hAnsi="Georgia"/>
      <w:b/>
      <w:sz w:val="56"/>
      <w:color w:val="1F3864"/>
    </w:rPr>
  </w:style>
  <w:style w:type="paragraph" w:styleId="Subtitle">
    <w:name w:val="Subtitle"/>
    <w:basedOn w:val="Normal"/>
    <w:qFormat/>
    <w:pPr>
      <w:spacing w:after="80"/>
    </w:pPr>
    <w:rPr>
      <w:rFonts w:ascii="Georgia" w:hAnsi="Georgia"/>
      <w:i/>
      <w:sz w:val="28"/>
      <w:color w:val="6B5B60"/>
    </w:rPr>
  </w:style>
  <w:style w:type="paragraph" w:styleId="Heading1">
    <w:name w:val="heading 1"/>
    <w:basedOn w:val="Normal"/>
    <w:next w:val="Normal"/>
    <w:qFormat/>
    <w:pPr>
      <w:keepNext/>
      <w:pBdr>
        <w:bottom w:val="single" w:sz="8" w:space="6" w:color="C9A227"/>
      </w:pBdr>
      <w:spacing w:before="360" w:after="160"/>
      <w:outlineLvl w:val="0"/>
    </w:pPr>
    <w:rPr>
      <w:rFonts w:ascii="Georgia" w:hAnsi="Georgia"/>
      <w:b/>
      <w:sz w:val="32"/>
      <w:color w:val="1F3864"/>
    </w:rPr>
  </w:style>
  <w:style w:type="paragraph" w:styleId="Heading2">
    <w:name w:val="heading 2"/>
    <w:basedOn w:val="Normal"/>
    <w:next w:val="Normal"/>
    <w:qFormat/>
    <w:pPr>
      <w:keepNext/>
      <w:spacing w:before="240" w:after="120"/>
      <w:outlineLvl w:val="1"/>
    </w:pPr>
    <w:rPr>
      <w:rFonts w:ascii="Georgia" w:hAnsi="Georgia"/>
      <w:b/>
      <w:sz w:val="26"/>
      <w:color w:val="4A1520"/>
    </w:rPr>
  </w:style>
  <w:style w:type="paragraph" w:styleId="Heading3">
    <w:name w:val="heading 3"/>
    <w:basedOn w:val="Normal"/>
    <w:next w:val="Normal"/>
    <w:qFormat/>
    <w:pPr>
      <w:keepNext/>
      <w:spacing w:before="200" w:after="80"/>
      <w:outlineLvl w:val="2"/>
    </w:pPr>
    <w:rPr>
      <w:b/>
      <w:sz w:val="22"/>
      <w:color w:val="3E6E8E"/>
    </w:rPr>
  </w:style>
  <w:style w:type="paragraph" w:styleId="ListParagraph">
    <w:name w:val="List Paragraph"/>
    <w:basedOn w:val="Normal"/>
    <w:qFormat/>
    <w:pPr>
      <w:contextualSpacing/>
    </w:pPr>
  </w:style>
  <w:style w:type="paragraph" w:styleId="CodeBlock">
    <w:name w:val="Code Block"/>
    <w:basedOn w:val="Normal"/>
    <w:qFormat/>
    <w:pPr>
      <w:contextualSpacing/>
    </w:pPr>
    <w:rPr>
      <w:rFonts w:ascii="Consolas" w:hAnsi="Consolas"/>
      <w:sz w:val="19"/>
      <w:color w:val="2B2620"/>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table" w:styleId="PlanTable">
    <w:name w:val="Plan Table"/>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Hdr" Type="http://schemas.openxmlformats.org/officeDocument/2006/relationships/header" Target="header1.xml"/>
<Relationship Id="rIdFtr" Type="http://schemas.openxmlformats.org/officeDocument/2006/relationships/footer" Target="footer1.xml"/>
</Relationships>
</file>

<file path=docProps/app.xml><?xml version="1.0" encoding="utf-8"?>
<Properties xmlns="http://schemas.openxmlformats.org/officeDocument/2006/extended-properties">
  <Application>Python OOXML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Analise Roland Advisory — Laravel Migration &amp; Server Architecture Plan</dc:title>
  <dc:creator>Claude</dc:creator>
  <dcterms:created xsi:type="dcterms:W3CDTF">2026-08-22T00:00:00Z</dcterms:created>
  <dcterms:modified xsi:type="dcterms:W3CDTF">2026-08-22T00:00:00Z</dcterms:modified>
</cp:coreProperties>
</file>