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  <w:r>
        <w:t xml:space="preserve"/>
      </w:r>
    </w:p>
    <w:p>
      <w:pPr>
        <w:pStyle w:val="Title"/>
        <w:jc w:val="center"/>
      </w:pPr>
      <w:r>
        <w:t xml:space="preserve">Analise Roland Advisory</w:t>
      </w:r>
    </w:p>
    <w:p>
      <w:pPr>
        <w:pStyle w:val="Subtitle"/>
        <w:jc w:val="center"/>
      </w:pPr>
      <w:r>
        <w:t xml:space="preserve">How Your Website Works — And What It's Worth to You</w:t>
      </w:r>
    </w:p>
    <w:p>
      <w:pPr>
        <w:spacing w:after="400"/>
      </w:pPr>
      <w:r>
        <w:t xml:space="preserve"/>
      </w:r>
    </w:p>
    <w:p>
      <w:pPr>
        <w:jc w:val="center"/>
      </w:pPr>
      <w:r>
        <w:t xml:space="preserve">Prepared for: Analise Roland Advisory — analiseroland.com</w:t>
      </w:r>
    </w:p>
    <w:p>
      <w:pPr>
        <w:jc w:val="center"/>
      </w:pPr>
      <w:r>
        <w:t xml:space="preserve">A plain-language walkthrough of how the new homepage turns a visitor into a client, and what that's worth to the business — no technical background required.</w:t>
      </w:r>
    </w:p>
    <w:p>
      <w:pPr>
        <w:jc w:val="center"/>
      </w:pPr>
      <w:r>
        <w:t xml:space="preserve">Date: 22 August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The Short Version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Before and After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How It Works — The Visitor's Journey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What Happens the Moment Someone Fills Out the 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The Private Pricing Links, Explained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What This Is Worth to You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What We Still Need From You</w:t>
      </w:r>
    </w:p>
    <w:p>
      <w:r>
        <w:br w:type="page"/>
      </w:r>
    </w:p>
    <w:p>
      <w:pPr>
        <w:pStyle w:val="Heading1"/>
        <w:keepNext/>
      </w:pPr>
      <w:r>
        <w:t xml:space="preserve">1. The Short Version</w:t>
      </w:r>
    </w:p>
    <w:p>
      <w:r>
        <w:t xml:space="preserve">This page didn't exist before. Now it's a system: it makes your case to a stranger the same way you would in person, holds their attention long enough to matter, and hands you a warm, qualified lead instead of a cold "someone mentioned you."</w:t>
      </w:r>
    </w:p>
    <w:p>
      <w:r>
        <w:t xml:space="preserve">Nobody has to be online for it to work. It runs while you sleep, while you're offline next week, while you're in a client meeting. It is, in effect, a version of your pitch that never gets tired and never forgets to follow up.</w:t>
      </w:r>
    </w:p>
    <w:p>
      <w:pPr>
        <w:pStyle w:val="Heading1"/>
        <w:keepNext/>
      </w:pPr>
      <w:r>
        <w:t xml:space="preserve">2. Before and After</w:t>
      </w:r>
    </w:p>
    <w:tbl>
      <w:tblPr>
        <w:tblStyle w:val="PlanTable"/>
        <w:tblW w:w="9360" w:type="dxa"/>
        <w:tblBorders>
          <w:top w:val="single" w:sz="4" w:space="0" w:color="C9C2B4"/>
          <w:left w:val="single" w:sz="4" w:space="0" w:color="C9C2B4"/>
          <w:bottom w:val="single" w:sz="4" w:space="0" w:color="C9C2B4"/>
          <w:right w:val="single" w:sz="4" w:space="0" w:color="C9C2B4"/>
          <w:insideH w:val="single" w:sz="4" w:space="0" w:color="C9C2B4"/>
          <w:insideV w:val="single" w:sz="4" w:space="0" w:color="C9C2B4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300"/>
        <w:gridCol w:w="5060"/>
      </w:tblGrid>
      <w:tr>
        <w:tc>
          <w:tcPr>
            <w:tcW w:w="4300" w:type="dxa"/>
            <w:shd w:val="clear" w:color="auto" w:fill="4A1520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w="5060" w:type="dxa"/>
            <w:shd w:val="clear" w:color="auto" w:fill="4A1520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w="4300" w:type="dxa"/>
            <w:vAlign w:val="center"/>
          </w:tcPr>
          <w:p>
            <w:pPr>
              <w:spacing w:after="0"/>
            </w:pPr>
            <w:r>
              <w:rPr>
                <w:b/>
                <w:color w:val="2B2620"/>
                <w:sz w:val="20"/>
                <w:szCs w:val="20"/>
              </w:rPr>
              <w:t xml:space="preserve">Word of mouth and LinkedIn only — no way to make a first impression on your own terms</w:t>
            </w:r>
          </w:p>
        </w:tc>
        <w:tc>
          <w:tcPr>
            <w:tcW w:w="5060" w:type="dxa"/>
            <w:vAlign w:val="center"/>
          </w:tcPr>
          <w:p>
            <w:pPr>
              <w:spacing w:after="0"/>
            </w:pPr>
            <w:r>
              <w:rPr>
                <w:color w:val="2B2620"/>
                <w:sz w:val="20"/>
                <w:szCs w:val="20"/>
              </w:rPr>
              <w:t xml:space="preserve">A page that states your positioning, your proof, and your offer before anyone talks to you</w:t>
            </w:r>
          </w:p>
        </w:tc>
      </w:tr>
      <w:tr>
        <w:tc>
          <w:tcPr>
            <w:tcW w:w="4300" w:type="dxa"/>
            <w:vAlign w:val="center"/>
          </w:tcPr>
          <w:p>
            <w:pPr>
              <w:spacing w:after="0"/>
            </w:pPr>
            <w:r>
              <w:rPr>
                <w:b/>
                <w:color w:val="2B2620"/>
                <w:sz w:val="20"/>
                <w:szCs w:val="20"/>
              </w:rPr>
              <w:t xml:space="preserve">Every prospect gets a slightly different pitch, whatever you remember to say that day</w:t>
            </w:r>
          </w:p>
        </w:tc>
        <w:tc>
          <w:tcPr>
            <w:tcW w:w="5060" w:type="dxa"/>
            <w:vAlign w:val="center"/>
          </w:tcPr>
          <w:p>
            <w:pPr>
              <w:spacing w:after="0"/>
            </w:pPr>
            <w:r>
              <w:rPr>
                <w:color w:val="2B2620"/>
                <w:sz w:val="20"/>
                <w:szCs w:val="20"/>
              </w:rPr>
              <w:t xml:space="preserve">Every prospect sees the same sharp, deliberate case for working with you</w:t>
            </w:r>
          </w:p>
        </w:tc>
      </w:tr>
      <w:tr>
        <w:tc>
          <w:tcPr>
            <w:tcW w:w="4300" w:type="dxa"/>
            <w:vAlign w:val="center"/>
          </w:tcPr>
          <w:p>
            <w:pPr>
              <w:spacing w:after="0"/>
            </w:pPr>
            <w:r>
              <w:rPr>
                <w:b/>
                <w:color w:val="2B2620"/>
                <w:sz w:val="20"/>
                <w:szCs w:val="20"/>
              </w:rPr>
              <w:t xml:space="preserve">Pricing explained case-by-case, over email or on a call, every single time</w:t>
            </w:r>
          </w:p>
        </w:tc>
        <w:tc>
          <w:tcPr>
            <w:tcW w:w="5060" w:type="dxa"/>
            <w:vAlign w:val="center"/>
          </w:tcPr>
          <w:p>
            <w:pPr>
              <w:spacing w:after="0"/>
            </w:pPr>
            <w:r>
              <w:rPr>
                <w:color w:val="2B2620"/>
                <w:sz w:val="20"/>
                <w:szCs w:val="20"/>
              </w:rPr>
              <w:t xml:space="preserve">One private link per prospect — sent in seconds, always current</w:t>
            </w:r>
          </w:p>
        </w:tc>
      </w:tr>
      <w:tr>
        <w:tc>
          <w:tcPr>
            <w:tcW w:w="4300" w:type="dxa"/>
            <w:vAlign w:val="center"/>
          </w:tcPr>
          <w:p>
            <w:pPr>
              <w:spacing w:after="0"/>
            </w:pPr>
            <w:r>
              <w:rPr>
                <w:b/>
                <w:color w:val="2B2620"/>
                <w:sz w:val="20"/>
                <w:szCs w:val="20"/>
              </w:rPr>
              <w:t xml:space="preserve">A lead emails you directly, or you simply never hear from them</w:t>
            </w:r>
          </w:p>
        </w:tc>
        <w:tc>
          <w:tcPr>
            <w:tcW w:w="5060" w:type="dxa"/>
            <w:vAlign w:val="center"/>
          </w:tcPr>
          <w:p>
            <w:pPr>
              <w:spacing w:after="0"/>
            </w:pPr>
            <w:r>
              <w:rPr>
                <w:color w:val="2B2620"/>
                <w:sz w:val="20"/>
                <w:szCs w:val="20"/>
              </w:rPr>
              <w:t xml:space="preserve">A structured submission nobody can lose, ignore, or forget to write down</w:t>
            </w:r>
          </w:p>
        </w:tc>
      </w:tr>
      <w:tr>
        <w:tc>
          <w:tcPr>
            <w:tcW w:w="4300" w:type="dxa"/>
            <w:vAlign w:val="center"/>
          </w:tcPr>
          <w:p>
            <w:pPr>
              <w:spacing w:after="0"/>
            </w:pPr>
            <w:r>
              <w:rPr>
                <w:b/>
                <w:color w:val="2B2620"/>
                <w:sz w:val="20"/>
                <w:szCs w:val="20"/>
              </w:rPr>
              <w:t xml:space="preserve">The pitch only happens if you're reachable</w:t>
            </w:r>
          </w:p>
        </w:tc>
        <w:tc>
          <w:tcPr>
            <w:tcW w:w="5060" w:type="dxa"/>
            <w:vAlign w:val="center"/>
          </w:tcPr>
          <w:p>
            <w:pPr>
              <w:spacing w:after="0"/>
            </w:pPr>
            <w:r>
              <w:rPr>
                <w:color w:val="2B2620"/>
                <w:sz w:val="20"/>
                <w:szCs w:val="20"/>
              </w:rPr>
              <w:t xml:space="preserve">The pitch happens with or without you in the room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keepNext/>
      </w:pPr>
      <w:r>
        <w:t xml:space="preserve">3. How It Works — The Visitor's Journey</w:t>
      </w:r>
    </w:p>
    <w:p>
      <w:r>
        <w:t xml:space="preserve">Here is exactly what happens, in order, from the moment someone opens the link to the moment you hear about them.</w:t>
      </w:r>
    </w:p>
    <w:tbl>
      <w:tblPr>
        <w:tblStyle w:val="PlanTable"/>
        <w:tblW w:w="9360" w:type="dxa"/>
        <w:tblBorders>
          <w:top w:val="single" w:sz="4" w:space="0" w:color="C9C2B4"/>
          <w:left w:val="single" w:sz="4" w:space="0" w:color="C9C2B4"/>
          <w:bottom w:val="single" w:sz="4" w:space="0" w:color="C9C2B4"/>
          <w:right w:val="single" w:sz="4" w:space="0" w:color="C9C2B4"/>
          <w:insideH w:val="single" w:sz="4" w:space="0" w:color="C9C2B4"/>
          <w:insideV w:val="single" w:sz="4" w:space="0" w:color="C9C2B4"/>
        </w:tblBorders>
        <w:tblCellMar>
          <w:top w:w="160" w:type="dxa"/>
          <w:left w:w="180" w:type="dxa"/>
          <w:bottom w:w="160" w:type="dxa"/>
          <w:right w:w="180" w:type="dxa"/>
        </w:tblCellMar>
      </w:tblPr>
      <w:tblGrid>
        <w:gridCol w:w="1000"/>
        <w:gridCol w:w="8360"/>
      </w:tblGrid>
      <w:tr>
        <w:tc>
          <w:tcPr>
            <w:tcW w:w="10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4A1520"/>
                <w:sz w:val="52"/>
                <w:szCs w:val="52"/>
              </w:rPr>
              <w:t xml:space="preserve">①</w:t>
            </w:r>
          </w:p>
        </w:tc>
        <w:tc>
          <w:tcPr>
            <w:tcW w:w="8360" w:type="dxa"/>
            <w:vAlign w:val="center"/>
          </w:tcPr>
          <w:p>
            <w:pPr>
              <w:spacing w:after="40"/>
            </w:pPr>
            <w:r>
              <w:rPr>
                <w:b/>
                <w:color w:val="2B2620"/>
                <w:sz w:val="24"/>
                <w:szCs w:val="24"/>
              </w:rPr>
              <w:t xml:space="preserve">Arrives</w:t>
            </w:r>
          </w:p>
          <w:p>
            <w:pPr>
              <w:spacing w:after="0"/>
            </w:pPr>
            <w:r>
              <w:t xml:space="preserve">A visitor lands on the page from a referral, a LinkedIn click, or a link you sent directly. Within three seconds, the headline tells them exactly who you help and why you're different — before they've had a chance to get bored and close the tab.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4A1520"/>
                <w:sz w:val="52"/>
                <w:szCs w:val="52"/>
              </w:rPr>
              <w:t xml:space="preserve">②</w:t>
            </w:r>
          </w:p>
        </w:tc>
        <w:tc>
          <w:tcPr>
            <w:tcW w:w="8360" w:type="dxa"/>
            <w:vAlign w:val="center"/>
          </w:tcPr>
          <w:p>
            <w:pPr>
              <w:spacing w:after="40"/>
            </w:pPr>
            <w:r>
              <w:rPr>
                <w:b/>
                <w:color w:val="2B2620"/>
                <w:sz w:val="24"/>
                <w:szCs w:val="24"/>
              </w:rPr>
              <w:t xml:space="preserve">Trusts</w:t>
            </w:r>
          </w:p>
          <w:p>
            <w:pPr>
              <w:spacing w:after="0"/>
            </w:pPr>
            <w:r>
              <w:t xml:space="preserve">The design itself does work here. Clean, considered typography; a real point of view ("regenerative, not extractive") instead of generic advisory-speak; the one-line credibility statement about university endowment programs. This is what keeps an institutional reader reading instead of bouncing.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4A1520"/>
                <w:sz w:val="52"/>
                <w:szCs w:val="52"/>
              </w:rPr>
              <w:t xml:space="preserve">③</w:t>
            </w:r>
          </w:p>
        </w:tc>
        <w:tc>
          <w:tcPr>
            <w:tcW w:w="8360" w:type="dxa"/>
            <w:vAlign w:val="center"/>
          </w:tcPr>
          <w:p>
            <w:pPr>
              <w:spacing w:after="40"/>
            </w:pPr>
            <w:r>
              <w:rPr>
                <w:b/>
                <w:color w:val="2B2620"/>
                <w:sz w:val="24"/>
                <w:szCs w:val="24"/>
              </w:rPr>
              <w:t xml:space="preserve">Understands the offer</w:t>
            </w:r>
          </w:p>
          <w:p>
            <w:pPr>
              <w:spacing w:after="0"/>
            </w:pPr>
            <w:r>
              <w:t xml:space="preserve">Two clear paths — the Advisory Retainer and Custom Project Work — with a real starting number ($20,000), not a vague "contact us for pricing." Serious prospects self-select in. Tire-kickers self-select out, before they ever take up your time.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4A1520"/>
                <w:sz w:val="52"/>
                <w:szCs w:val="52"/>
              </w:rPr>
              <w:t xml:space="preserve">④</w:t>
            </w:r>
          </w:p>
        </w:tc>
        <w:tc>
          <w:tcPr>
            <w:tcW w:w="8360" w:type="dxa"/>
            <w:vAlign w:val="center"/>
          </w:tcPr>
          <w:p>
            <w:pPr>
              <w:spacing w:after="40"/>
            </w:pPr>
            <w:r>
              <w:rPr>
                <w:b/>
                <w:color w:val="2B2620"/>
                <w:sz w:val="24"/>
                <w:szCs w:val="24"/>
              </w:rPr>
              <w:t xml:space="preserve">Sees proof</w:t>
            </w:r>
          </w:p>
          <w:p>
            <w:pPr>
              <w:spacing w:after="0"/>
            </w:pPr>
            <w:r>
              <w:t xml:space="preserve">The testimonial section — once populated with real quotes — does the convincing you'd otherwise have to do yourself, out loud, on every single call.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4A1520"/>
                <w:sz w:val="52"/>
                <w:szCs w:val="52"/>
              </w:rPr>
              <w:t xml:space="preserve">⑤</w:t>
            </w:r>
          </w:p>
        </w:tc>
        <w:tc>
          <w:tcPr>
            <w:tcW w:w="8360" w:type="dxa"/>
            <w:vAlign w:val="center"/>
          </w:tcPr>
          <w:p>
            <w:pPr>
              <w:spacing w:after="40"/>
            </w:pPr>
            <w:r>
              <w:rPr>
                <w:b/>
                <w:color w:val="2B2620"/>
                <w:sz w:val="24"/>
                <w:szCs w:val="24"/>
              </w:rPr>
              <w:t xml:space="preserve">Takes action</w:t>
            </w:r>
          </w:p>
          <w:p>
            <w:pPr>
              <w:spacing w:after="0"/>
            </w:pPr>
            <w:r>
              <w:t xml:space="preserve">One primary choice, offered twice: book a call, or send a message. No competing buttons, no maze of pages to get lost in — the entire page points at a single next step.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4A1520"/>
                <w:sz w:val="52"/>
                <w:szCs w:val="52"/>
              </w:rPr>
              <w:t xml:space="preserve">⑥</w:t>
            </w:r>
          </w:p>
        </w:tc>
        <w:tc>
          <w:tcPr>
            <w:tcW w:w="8360" w:type="dxa"/>
            <w:vAlign w:val="center"/>
          </w:tcPr>
          <w:p>
            <w:pPr>
              <w:spacing w:after="40"/>
            </w:pPr>
            <w:r>
              <w:rPr>
                <w:b/>
                <w:color w:val="2B2620"/>
                <w:sz w:val="24"/>
                <w:szCs w:val="24"/>
              </w:rPr>
              <w:t xml:space="preserve">You follow up</w:t>
            </w:r>
          </w:p>
          <w:p>
            <w:pPr>
              <w:spacing w:after="0"/>
            </w:pPr>
            <w:r>
              <w:t xml:space="preserve">The moment they act, it's in front of you. What happens in that instant is covered next.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keepNext/>
      </w:pPr>
      <w:r>
        <w:t xml:space="preserve">4. What Happens the Moment Someone Fills Out the Form</w:t>
      </w:r>
    </w:p>
    <w:p>
      <w:r>
        <w:t xml:space="preserve">This is the part that used to not exist at all. Right now, a lead form on a static page goes nowhere — once the site is upgraded to actually process it, here's the sequence:</w:t>
      </w:r>
    </w:p>
    <w:tbl>
      <w:tblPr>
        <w:tblStyle w:val="PlanTable"/>
        <w:tblW w:w="9360" w:type="dxa"/>
        <w:tblBorders>
          <w:top w:val="single" w:sz="4" w:space="0" w:color="C9C2B4"/>
          <w:left w:val="single" w:sz="4" w:space="0" w:color="C9C2B4"/>
          <w:bottom w:val="single" w:sz="4" w:space="0" w:color="C9C2B4"/>
          <w:right w:val="single" w:sz="4" w:space="0" w:color="C9C2B4"/>
          <w:insideH w:val="single" w:sz="4" w:space="0" w:color="C9C2B4"/>
          <w:insideV w:val="single" w:sz="4" w:space="0" w:color="C9C2B4"/>
        </w:tblBorders>
        <w:tblCellMar>
          <w:top w:w="160" w:type="dxa"/>
          <w:left w:w="180" w:type="dxa"/>
          <w:bottom w:w="160" w:type="dxa"/>
          <w:right w:w="180" w:type="dxa"/>
        </w:tblCellMar>
      </w:tblPr>
      <w:tblGrid>
        <w:gridCol w:w="1000"/>
        <w:gridCol w:w="8360"/>
      </w:tblGrid>
      <w:tr>
        <w:tc>
          <w:tcPr>
            <w:tcW w:w="1000" w:type="dxa"/>
            <w:shd w:val="clear" w:color="auto" w:fill="EDF2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3E6E8E"/>
                <w:sz w:val="52"/>
                <w:szCs w:val="52"/>
              </w:rPr>
              <w:t xml:space="preserve">①</w:t>
            </w:r>
          </w:p>
        </w:tc>
        <w:tc>
          <w:tcPr>
            <w:tcW w:w="8360" w:type="dxa"/>
            <w:vAlign w:val="center"/>
          </w:tcPr>
          <w:p>
            <w:pPr>
              <w:spacing w:after="40"/>
            </w:pPr>
            <w:r>
              <w:rPr>
                <w:b/>
                <w:color w:val="2B2620"/>
                <w:sz w:val="24"/>
                <w:szCs w:val="24"/>
              </w:rPr>
              <w:t xml:space="preserve">It's checked</w:t>
            </w:r>
          </w:p>
          <w:p>
            <w:pPr>
              <w:spacing w:after="0"/>
            </w:pPr>
            <w:r>
              <w:t xml:space="preserve">The system confirms it's a real name, a real email address, and an actual message — so you're reading serious inquiries, not sorting through robot spam.</w:t>
            </w:r>
          </w:p>
        </w:tc>
      </w:tr>
      <w:tr>
        <w:tc>
          <w:tcPr>
            <w:tcW w:w="1000" w:type="dxa"/>
            <w:shd w:val="clear" w:color="auto" w:fill="EDF2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3E6E8E"/>
                <w:sz w:val="52"/>
                <w:szCs w:val="52"/>
              </w:rPr>
              <w:t xml:space="preserve">②</w:t>
            </w:r>
          </w:p>
        </w:tc>
        <w:tc>
          <w:tcPr>
            <w:tcW w:w="8360" w:type="dxa"/>
            <w:vAlign w:val="center"/>
          </w:tcPr>
          <w:p>
            <w:pPr>
              <w:spacing w:after="40"/>
            </w:pPr>
            <w:r>
              <w:rPr>
                <w:b/>
                <w:color w:val="2B2620"/>
                <w:sz w:val="24"/>
                <w:szCs w:val="24"/>
              </w:rPr>
              <w:t xml:space="preserve">It's saved, permanently</w:t>
            </w:r>
          </w:p>
          <w:p>
            <w:pPr>
              <w:spacing w:after="0"/>
            </w:pPr>
            <w:r>
              <w:t xml:space="preserve">Nothing typed into that form is ever silently lost, even if an email gets buried or you don't see it right away. It's sitting there, waiting, whenever you check.</w:t>
            </w:r>
          </w:p>
        </w:tc>
      </w:tr>
      <w:tr>
        <w:tc>
          <w:tcPr>
            <w:tcW w:w="1000" w:type="dxa"/>
            <w:shd w:val="clear" w:color="auto" w:fill="EDF2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3E6E8E"/>
                <w:sz w:val="52"/>
                <w:szCs w:val="52"/>
              </w:rPr>
              <w:t xml:space="preserve">③</w:t>
            </w:r>
          </w:p>
        </w:tc>
        <w:tc>
          <w:tcPr>
            <w:tcW w:w="8360" w:type="dxa"/>
            <w:vAlign w:val="center"/>
          </w:tcPr>
          <w:p>
            <w:pPr>
              <w:spacing w:after="40"/>
            </w:pPr>
            <w:r>
              <w:rPr>
                <w:b/>
                <w:color w:val="2B2620"/>
                <w:sz w:val="24"/>
                <w:szCs w:val="24"/>
              </w:rPr>
              <w:t xml:space="preserve">You're notified instantly</w:t>
            </w:r>
          </w:p>
          <w:p>
            <w:pPr>
              <w:spacing w:after="0"/>
            </w:pPr>
            <w:r>
              <w:t xml:space="preserve">You (and Kelsey) get an email the second it happens. You find out about a prospective client within seconds — not whenever you happen to refresh your inbox.</w:t>
            </w:r>
          </w:p>
        </w:tc>
      </w:tr>
      <w:tr>
        <w:tc>
          <w:tcPr>
            <w:tcW w:w="1000" w:type="dxa"/>
            <w:shd w:val="clear" w:color="auto" w:fill="EDF2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3E6E8E"/>
                <w:sz w:val="52"/>
                <w:szCs w:val="52"/>
              </w:rPr>
              <w:t xml:space="preserve">④</w:t>
            </w:r>
          </w:p>
        </w:tc>
        <w:tc>
          <w:tcPr>
            <w:tcW w:w="8360" w:type="dxa"/>
            <w:vAlign w:val="center"/>
          </w:tcPr>
          <w:p>
            <w:pPr>
              <w:spacing w:after="40"/>
            </w:pPr>
            <w:r>
              <w:rPr>
                <w:b/>
                <w:color w:val="2B2620"/>
                <w:sz w:val="24"/>
                <w:szCs w:val="24"/>
              </w:rPr>
              <w:t xml:space="preserve">They're reassured</w:t>
            </w:r>
          </w:p>
          <w:p>
            <w:pPr>
              <w:spacing w:after="0"/>
            </w:pPr>
            <w:r>
              <w:t xml:space="preserve">The prospect gets an automatic confirmation that it went through. That matters more than it sounds: silence after hitting "submit" is exactly the kind of doubt that sends someone to a competitor's site instead.</w:t>
            </w:r>
          </w:p>
        </w:tc>
      </w:tr>
    </w:tbl>
    <w:p>
      <w:pPr>
        <w:spacing w:after="200"/>
      </w:pPr>
      <w:r>
        <w:t xml:space="preserve"/>
      </w:r>
    </w:p>
    <w:p>
      <w:r>
        <w:t xml:space="preserve">You still make every human decision — who to prioritize, what to say, how fast to move. The system's only job is making sure nothing falls through the cracks before you get the chance.</w:t>
      </w:r>
    </w:p>
    <w:p>
      <w:pPr>
        <w:pStyle w:val="Heading1"/>
        <w:keepNext/>
      </w:pPr>
      <w:r>
        <w:t xml:space="preserve">5. The Private Pricing Links, Explained</w:t>
      </w:r>
    </w:p>
    <w:p>
      <w:r>
        <w:t xml:space="preserve">You've asked for a way to share detailed pricing without putting it on the open internet — reasonable, since every engagement is priced differently and you don't want Google indexing numbers that don't apply to everyone. Here's the plain-English version of how that works once it's built: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prospect gets their own private link — not one shared password that everyone ends up reusing.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page itself tells search engines not to index it, so it will never surface in a Google search, for anyone.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can see who opened it and when, so a link never just sits there unread and unanswered.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can switch a link off at any time — no more wondering who out there still has access to old numbers.</w:t>
      </w:r>
    </w:p>
    <w:p>
      <w:r>
        <w:t xml:space="preserve">Think of it like a locked PDF, except you never have to attach a new file to a new email again — you send one link, and you stay in control of exactly who can open it.</w:t>
      </w:r>
    </w:p>
    <w:p>
      <w:pPr>
        <w:pStyle w:val="Heading1"/>
        <w:keepNext/>
      </w:pPr>
      <w:r>
        <w:t xml:space="preserve">6. What This Is Worth to You</w:t>
      </w:r>
    </w:p>
    <w:p>
      <w:r>
        <w:t xml:space="preserve">Three concrete ways this pays for itself:</w:t>
      </w:r>
    </w:p>
    <w:tbl>
      <w:tblPr>
        <w:tblStyle w:val="PlanTable"/>
        <w:tblW w:w="9360" w:type="dxa"/>
        <w:tblBorders>
          <w:top w:val="single" w:sz="4" w:space="0" w:color="C9C2B4"/>
          <w:left w:val="single" w:sz="4" w:space="0" w:color="C9C2B4"/>
          <w:bottom w:val="single" w:sz="4" w:space="0" w:color="C9C2B4"/>
          <w:right w:val="single" w:sz="4" w:space="0" w:color="C9C2B4"/>
          <w:insideH w:val="single" w:sz="4" w:space="0" w:color="C9C2B4"/>
          <w:insideV w:val="single" w:sz="4" w:space="0" w:color="C9C2B4"/>
        </w:tblBorders>
        <w:tblCellMar>
          <w:top w:w="160" w:type="dxa"/>
          <w:left w:w="180" w:type="dxa"/>
          <w:bottom w:w="160" w:type="dxa"/>
          <w:right w:w="18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0EAE1"/>
            <w:vAlign w:val="top"/>
          </w:tcPr>
          <w:p>
            <w:pPr>
              <w:spacing w:after="40"/>
              <w:jc w:val="center"/>
            </w:pPr>
            <w:r>
              <w:rPr>
                <w:b/>
                <w:color w:val="4A1520"/>
                <w:sz w:val="68"/>
                <w:szCs w:val="68"/>
              </w:rPr>
              <w:t xml:space="preserve">$</w:t>
            </w:r>
          </w:p>
          <w:p>
            <w:pPr>
              <w:spacing w:after="100"/>
              <w:jc w:val="center"/>
            </w:pPr>
            <w:r>
              <w:rPr>
                <w:b/>
                <w:color w:val="4A1520"/>
                <w:sz w:val="26"/>
                <w:szCs w:val="26"/>
              </w:rPr>
              <w:t xml:space="preserve">More Money</w:t>
            </w:r>
          </w:p>
          <w:p>
            <w:pPr>
              <w:spacing w:after="60"/>
            </w:pPr>
            <w:r>
              <w:rPr>
                <w:b/>
                <w:color w:val="4A1520"/>
              </w:rPr>
              <w:t xml:space="preserve">– </w:t>
            </w:r>
            <w:r>
              <w:t xml:space="preserve">Keeps arguing your case while you're offline — a hot lead doesn't go cold just because you're unreachable for a few days.</w:t>
            </w:r>
          </w:p>
          <w:p>
            <w:pPr>
              <w:spacing w:after="60"/>
            </w:pPr>
            <w:r>
              <w:rPr>
                <w:b/>
                <w:color w:val="4A1520"/>
              </w:rPr>
              <w:t xml:space="preserve">– </w:t>
            </w:r>
            <w:r>
              <w:t xml:space="preserve">A visitor already knows your rate range by the time you talk, so the first real conversation starts closer to "yes."</w:t>
            </w:r>
          </w:p>
          <w:p>
            <w:pPr>
              <w:spacing w:after="60"/>
            </w:pPr>
            <w:r>
              <w:rPr>
                <w:b/>
                <w:color w:val="4A1520"/>
              </w:rPr>
              <w:t xml:space="preserve">– </w:t>
            </w:r>
            <w:r>
              <w:t xml:space="preserve">One link now does what used to take a custom email, a rate sheet, and a follow-up call.</w:t>
            </w:r>
          </w:p>
        </w:tc>
        <w:tc>
          <w:tcPr>
            <w:tcW w:w="3120" w:type="dxa"/>
            <w:shd w:val="clear" w:color="auto" w:fill="F0EAE1"/>
            <w:vAlign w:val="top"/>
          </w:tcPr>
          <w:p>
            <w:pPr>
              <w:spacing w:after="40"/>
              <w:jc w:val="center"/>
            </w:pPr>
            <w:r>
              <w:rPr>
                <w:b/>
                <w:color w:val="3E6E8E"/>
                <w:sz w:val="68"/>
                <w:szCs w:val="68"/>
              </w:rPr>
              <w:t xml:space="preserve">✓</w:t>
            </w:r>
          </w:p>
          <w:p>
            <w:pPr>
              <w:spacing w:after="100"/>
              <w:jc w:val="center"/>
            </w:pPr>
            <w:r>
              <w:rPr>
                <w:b/>
                <w:color w:val="3E6E8E"/>
                <w:sz w:val="26"/>
                <w:szCs w:val="26"/>
              </w:rPr>
              <w:t xml:space="preserve">More Trust</w:t>
            </w:r>
          </w:p>
          <w:p>
            <w:pPr>
              <w:spacing w:after="60"/>
            </w:pPr>
            <w:r>
              <w:rPr>
                <w:b/>
                <w:color w:val="3E6E8E"/>
              </w:rPr>
              <w:t xml:space="preserve">– </w:t>
            </w:r>
            <w:r>
              <w:t xml:space="preserve">The design itself is a credibility signal — the polish an endowment committee expects before taking a founder's advisor seriously.</w:t>
            </w:r>
          </w:p>
          <w:p>
            <w:pPr>
              <w:spacing w:after="60"/>
            </w:pPr>
            <w:r>
              <w:rPr>
                <w:b/>
                <w:color w:val="3E6E8E"/>
              </w:rPr>
              <w:t xml:space="preserve">– </w:t>
            </w:r>
            <w:r>
              <w:t xml:space="preserve">A real point of view differentiates you faster than a generic pitch ever could.</w:t>
            </w:r>
          </w:p>
          <w:p>
            <w:pPr>
              <w:spacing w:after="60"/>
            </w:pPr>
            <w:r>
              <w:rPr>
                <w:b/>
                <w:color w:val="3E6E8E"/>
              </w:rPr>
              <w:t xml:space="preserve">– </w:t>
            </w:r>
            <w:r>
              <w:t xml:space="preserve">Stated numbers and stated terms read as confidence. Vagueness reads as the opposite.</w:t>
            </w:r>
          </w:p>
        </w:tc>
        <w:tc>
          <w:tcPr>
            <w:tcW w:w="3120" w:type="dxa"/>
            <w:shd w:val="clear" w:color="auto" w:fill="F0EAE1"/>
            <w:vAlign w:val="top"/>
          </w:tcPr>
          <w:p>
            <w:pPr>
              <w:spacing w:after="40"/>
              <w:jc w:val="center"/>
            </w:pPr>
            <w:r>
              <w:rPr>
                <w:b/>
                <w:color w:val="4A1520"/>
                <w:sz w:val="68"/>
                <w:szCs w:val="68"/>
              </w:rPr>
              <w:t xml:space="preserve">→</w:t>
            </w:r>
          </w:p>
          <w:p>
            <w:pPr>
              <w:spacing w:after="100"/>
              <w:jc w:val="center"/>
            </w:pPr>
            <w:r>
              <w:rPr>
                <w:b/>
                <w:color w:val="4A1520"/>
                <w:sz w:val="26"/>
                <w:szCs w:val="26"/>
              </w:rPr>
              <w:t xml:space="preserve">Less Work</w:t>
            </w:r>
          </w:p>
          <w:p>
            <w:pPr>
              <w:spacing w:after="60"/>
            </w:pPr>
            <w:r>
              <w:rPr>
                <w:b/>
                <w:color w:val="4A1520"/>
              </w:rPr>
              <w:t xml:space="preserve">– </w:t>
            </w:r>
            <w:r>
              <w:t xml:space="preserve">No more assembling a one-off PDF or deck every time someone asks what you do.</w:t>
            </w:r>
          </w:p>
          <w:p>
            <w:pPr>
              <w:spacing w:after="60"/>
            </w:pPr>
            <w:r>
              <w:rPr>
                <w:b/>
                <w:color w:val="4A1520"/>
              </w:rPr>
              <w:t xml:space="preserve">– </w:t>
            </w:r>
            <w:r>
              <w:t xml:space="preserve">The form replaces "just email me" — nothing depends on you remembering a text from three days ago.</w:t>
            </w:r>
          </w:p>
          <w:p>
            <w:pPr>
              <w:spacing w:after="60"/>
            </w:pPr>
            <w:r>
              <w:rPr>
                <w:b/>
                <w:color w:val="4A1520"/>
              </w:rPr>
              <w:t xml:space="preserve">– </w:t>
            </w:r>
            <w:r>
              <w:t xml:space="preserve">You explain your rates once, on the page, instead of re-explaining them in every new conversation.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keepNext/>
      </w:pPr>
      <w:r>
        <w:t xml:space="preserve">7. What We Still Need From You</w:t>
      </w:r>
    </w:p>
    <w:p>
      <w:r>
        <w:t xml:space="preserve">Everything above already works on the page you've seen. This short list is what turns it from a strong draft into the finished thing: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testimonials, and who to attribute them 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Your logo and any brand assets you already have.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Photography or a mood board, if you want anything beyond the current palette.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calendar booking link, once it's set up with Kelsey.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 legal disclaimer wording from your legal team.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Case study details for a future projects page.</w:t>
      </w:r>
    </w:p>
    <w:p>
      <w:pPr>
        <w:sectPr>
          <w:headerReference w:type="default" r:id="rIdHdr"/>
          <w:footerReference w:type="default" r:id="rIdFtr"/>
          <w:pgSz w:w="12240" w:h="15840"/>
          <w:pgMar w:top="1440" w:right="1440" w:bottom="1440" w:left="1440" w:header="720" w:footer="720" w:gutter="0"/>
          <w:cols w:space="720"/>
        </w:sectPr>
      </w:pPr>
    </w:p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sz w:val="16"/>
        <w:color w:val="6B5B60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6"/>
        <w:color w:val="6B5B60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Header"/>
      <w:jc w:val="right"/>
    </w:pPr>
    <w:r>
      <w:rPr>
        <w:sz w:val="16"/>
        <w:color w:val="6B5B60"/>
      </w:rPr>
      <w:t xml:space="preserve">Analise Roland Advisory  —  How Your Website Works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"/>
      <w:lvlJc w:val="left"/>
      <w:pPr>
        <w:ind w:left="450" w:hanging="270"/>
      </w:pPr>
      <w:rPr>
        <w:rFonts w:ascii="Symbol" w:hAnsi="Symbol" w:hint="default"/>
        <w:color w:val="4A1520"/>
      </w:rPr>
    </w:lvl>
  </w:abstractNum>
  <w:abstractNum w:abstractNumId="1">
    <w:lvl w:ilvl="0">
      <w:start w:val="1"/>
      <w:numFmt w:val="decimal"/>
      <w:lvlText w:val="%1."/>
      <w:lvlJc w:val="left"/>
      <w:pPr>
        <w:ind w:left="450" w:hanging="270"/>
      </w:pPr>
      <w:rPr>
        <w:b/>
        <w:color w:val="4A1520"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88" w:lineRule="auto"/>
      </w:pPr>
    </w:pPrDefault>
  </w:docDefaults>
  <w:style w:type="paragraph" w:default="1" w:styleId="Normal">
    <w:name w:val="Normal"/>
    <w:rPr>
      <w:color w:val="2B2620"/>
    </w:rPr>
  </w:style>
  <w:style w:type="paragraph" w:styleId="Title">
    <w:name w:val="Title"/>
    <w:basedOn w:val="Normal"/>
    <w:qFormat/>
    <w:pPr>
      <w:spacing w:after="120"/>
    </w:pPr>
    <w:rPr>
      <w:rFonts w:ascii="Georgia" w:hAnsi="Georgia"/>
      <w:b/>
      <w:sz w:val="56"/>
      <w:color w:val="1F3864"/>
    </w:rPr>
  </w:style>
  <w:style w:type="paragraph" w:styleId="Subtitle">
    <w:name w:val="Subtitle"/>
    <w:basedOn w:val="Normal"/>
    <w:qFormat/>
    <w:pPr>
      <w:spacing w:after="80"/>
    </w:pPr>
    <w:rPr>
      <w:rFonts w:ascii="Georgia" w:hAnsi="Georgia"/>
      <w:i/>
      <w:sz w:val="28"/>
      <w:color w:val="6B5B60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6" w:color="C9A227"/>
      </w:pBdr>
      <w:spacing w:before="360" w:after="160"/>
      <w:outlineLvl w:val="0"/>
    </w:pPr>
    <w:rPr>
      <w:rFonts w:ascii="Georgia" w:hAnsi="Georgia"/>
      <w:b/>
      <w:sz w:val="32"/>
      <w:color w:val="1F3864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rFonts w:ascii="Georgia" w:hAnsi="Georgia"/>
      <w:b/>
      <w:sz w:val="26"/>
      <w:color w:val="4A1520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sz w:val="22"/>
      <w:color w:val="3E6E8E"/>
    </w:rPr>
  </w:style>
  <w:style w:type="paragraph" w:styleId="ListParagraph">
    <w:name w:val="List Paragraph"/>
    <w:basedOn w:val="Normal"/>
    <w:qFormat/>
    <w:pPr>
      <w:contextualSpacing/>
    </w:pPr>
  </w:style>
  <w:style w:type="paragraph" w:styleId="CodeBlock">
    <w:name w:val="Code Block"/>
    <w:basedOn w:val="Normal"/>
    <w:qFormat/>
    <w:pPr>
      <w:contextualSpacing/>
    </w:pPr>
    <w:rPr>
      <w:rFonts w:ascii="Consolas" w:hAnsi="Consolas"/>
      <w:sz w:val="19"/>
      <w:color w:val="2B26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table" w:styleId="PlanTable">
    <w:name w:val="Plan Table"/>
    <w:tblPr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Hdr" Type="http://schemas.openxmlformats.org/officeDocument/2006/relationships/header" Target="header1.xml"/>
<Relationship Id="rIdFtr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Python OOXML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Analise Roland Advisory — How Your Website Works and What It's Worth</dc:title>
  <dc:creator>Claude</dc:creator>
  <dcterms:created xsi:type="dcterms:W3CDTF">2026-08-22T00:00:00Z</dcterms:created>
  <dcterms:modified xsi:type="dcterms:W3CDTF">2026-08-22T00:00:00Z</dcterms:modified>
</cp:coreProperties>
</file>