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Jalan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NOMOR : </w:t>
      </w: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XX/XXXX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FORMULARIUM OBAT PELAYANAN KESEHATAN DASAR</w:t>
      </w:r>
    </w:p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460"/>
        <w:gridCol w:w="7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bahwa obat merupakan unsur penunjang utama dalam pelayanan kesehatan di UPTD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bahwa dalam rangka meningkatkan mutu pelayanan kesehatan perlu menjamin aksesibilitas obat yang aman, berkhasiat, bermutu dan terjangkau dalam jenis dan jumlah yang cukup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bahwa jenis obat terpilih perlu disusun dalam suatu Formularium yang penggunaannya ditetapkan oleh Kepala UPTD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Berakit;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d.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bahwa berdasarkan pertimbangan pada huruf a, b, dan c perlu menetapkan Keputusan Kepala Puskesmas tentang Tim Perencanaan Kebutuhan Obat UPTD Puskesmas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Berakit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Undang-Undang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Nomor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36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Tahun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2009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tentang Kesehata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n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Peraturan Pemerintah Nomor 51 Tahun 2009 tentang Pekerjaan Kefarmasian;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3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Peraturan Menteri Kesehatan Nomor 74 Tahun 2016</w:t>
            </w:r>
          </w:p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tentang Standar Pelayanan Kefarmasian di Puskesmas;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4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Peraturan Menteri Kesehatan Republik Indonesia Nomor 43 Tahun 2019, tentang Pusat Kesehatan Masyarakat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Keputusan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Menteri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Kesehatan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Republik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Indonesia Nomor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: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HK.01.07/Menkes/659/2017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Tentang Formularium Nasiona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Keputusan Menteri Kesehatan Republik Indonesia Nomor Hk.01.07/Menkes/395/2017 Tentang Daftar Obat Esensial Nasional;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Keputusan Kepala Dinas Kesehatan Kabupaten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Bintan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Nomor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019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/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II/2022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 tentang Formularium Obat Pelayanan Kesehatan Dasar Di Puskesmas Kabupaten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Bintan.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24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KEPUTUSAN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KEPALA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PUSKESMAS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BERAKIT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 TENTANG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FORMULARIUM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OBAT PELAYANAN KESEHATAN DASAR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981" w:type="dxa"/>
            <w:shd w:val="clear" w:color="auto" w:fill="FFFFFF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>
            <w:pPr>
              <w:numPr>
                <w:numId w:val="0"/>
              </w:numPr>
              <w:spacing w:line="360" w:lineRule="auto"/>
              <w:ind w:leftChars="0" w:right="14" w:rightChars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Formularium Obat Pelayanan Kesehatan di UPTD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 sebagaimana dimaksud merupakan daftar obat terpilih yang dibutuhkan dan harus tersedia di fasilitas pelayanan kesehatan di UPTD Puskesmas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Berakit;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Formularium sebagaimana dimaksud pada Diktum Pertama digunakan sebagai pedoman pemilihan obat untuk pelayanan kesehatan di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Agar dapat senantiasa mengikuti perkembangan dalam bidang obat, secara berkala Formularium Obat Puskesmas Kalapanunggal perlu disesuaikan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KEEMPAT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Keputusan ini berlaku sejak tanggal ditetapkan.</w:t>
            </w:r>
          </w:p>
        </w:tc>
      </w:tr>
    </w:tbl>
    <w:p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: Berakit</w:t>
      </w:r>
    </w:p>
    <w:p>
      <w:pPr>
        <w:spacing w:after="0" w:line="240" w:lineRule="auto"/>
        <w:ind w:left="4820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:</w:t>
      </w:r>
      <w:r>
        <w:rPr>
          <w:rFonts w:hint="default" w:ascii="Bookman Old Style" w:hAnsi="Bookman Old Style" w:cs="Arial"/>
          <w:sz w:val="24"/>
          <w:szCs w:val="24"/>
          <w:lang w:val="en-US"/>
        </w:rPr>
        <w:t>XX XXXXX XXXX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NIP 197410201996031004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 </w:t>
      </w:r>
    </w:p>
    <w:p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346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id-ID"/>
              </w:rPr>
              <w:t xml:space="preserve">KEPUTUSAN KEPALA </w:t>
            </w: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UPTD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ascii="Bookman Old Style" w:hAnsi="Bookman Old Style" w:cs="Arial"/>
                <w:sz w:val="24"/>
                <w:vertAlign w:val="baseline"/>
                <w:lang w:val="id-ID"/>
              </w:rPr>
            </w:pPr>
            <w:r>
              <w:rPr>
                <w:rFonts w:hint="default" w:ascii="Bookman Old Style" w:hAnsi="Bookman Old Style" w:cs="Arial"/>
                <w:sz w:val="24"/>
                <w:lang w:val="en-US"/>
              </w:rPr>
              <w:t>XX/XXXX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id-ID"/>
              </w:rPr>
              <w:t xml:space="preserve">TIM PENYUSUNAN FORMULARIUM OBAT KESEHATAN DASAR UPTD PUSKESMAS </w:t>
            </w: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ascii="Bookman Old Style" w:hAnsi="Bookman Old Style" w:cs="Arial"/>
                <w:sz w:val="24"/>
                <w:vertAlign w:val="baseline"/>
                <w:lang w:val="id-ID"/>
              </w:rPr>
            </w:pPr>
          </w:p>
        </w:tc>
      </w:tr>
    </w:tbl>
    <w:p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>
      <w:pPr>
        <w:spacing w:after="0" w:line="360" w:lineRule="auto"/>
        <w:ind w:left="0" w:firstLine="0"/>
        <w:jc w:val="center"/>
        <w:rPr>
          <w:rFonts w:hint="default" w:ascii="Bookman Old Style" w:hAnsi="Bookman Old Style" w:cs="Arial"/>
          <w:b/>
          <w:bCs/>
          <w:sz w:val="24"/>
          <w:szCs w:val="24"/>
        </w:rPr>
      </w:pPr>
      <w:r>
        <w:rPr>
          <w:rFonts w:hint="default" w:ascii="Bookman Old Style" w:hAnsi="Bookman Old Style" w:cs="Arial"/>
          <w:b/>
          <w:bCs/>
          <w:sz w:val="24"/>
          <w:szCs w:val="24"/>
        </w:rPr>
        <w:t>TIM PERENCANAAN KEBUTUHAN OBAT</w:t>
      </w:r>
    </w:p>
    <w:p>
      <w:pPr>
        <w:spacing w:after="0" w:line="360" w:lineRule="auto"/>
        <w:ind w:left="0" w:firstLine="0"/>
        <w:jc w:val="center"/>
        <w:rPr>
          <w:rFonts w:hint="default" w:ascii="Bookman Old Style" w:hAnsi="Bookman Old Style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>Penanggung Jawab</w:t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>: Zulyadi, S.Kep</w:t>
      </w: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>Ketua</w:t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>: dr. Humairoh Aminah</w:t>
      </w: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>Sekretaris</w:t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>: apt. Arif Mulpratama, S.Farm</w:t>
      </w: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>Anggota</w:t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>: 1. dr. ...</w:t>
      </w:r>
    </w:p>
    <w:p>
      <w:pPr>
        <w:numPr>
          <w:ilvl w:val="0"/>
          <w:numId w:val="1"/>
        </w:numPr>
        <w:tabs>
          <w:tab w:val="left" w:pos="432"/>
        </w:tabs>
        <w:spacing w:after="0" w:line="360" w:lineRule="auto"/>
        <w:ind w:left="3032" w:leftChars="0" w:right="14" w:rightChars="0" w:firstLine="0" w:firstLine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 xml:space="preserve">drg. .... </w:t>
      </w:r>
    </w:p>
    <w:p>
      <w:pPr>
        <w:numPr>
          <w:ilvl w:val="0"/>
          <w:numId w:val="1"/>
        </w:numPr>
        <w:tabs>
          <w:tab w:val="left" w:pos="432"/>
        </w:tabs>
        <w:spacing w:after="0" w:line="360" w:lineRule="auto"/>
        <w:ind w:left="3032" w:leftChars="0" w:right="14" w:rightChars="0" w:firstLine="0" w:firstLine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>... Amd.Keb</w:t>
      </w: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szCs w:val="24"/>
          <w:lang w:val="en-US"/>
        </w:rPr>
        <w:tab/>
        <w:t xml:space="preserve">  4. ..., Amd.Kep</w:t>
      </w: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32"/>
        </w:tabs>
        <w:spacing w:after="0" w:line="360" w:lineRule="auto"/>
        <w:ind w:right="14" w:rightChars="0"/>
        <w:jc w:val="both"/>
        <w:rPr>
          <w:rFonts w:hint="default" w:ascii="Bookman Old Style" w:hAnsi="Bookman Old Style" w:cs="Arial"/>
          <w:sz w:val="24"/>
          <w:szCs w:val="24"/>
          <w:lang w:val="en-US"/>
        </w:rPr>
      </w:pPr>
    </w:p>
    <w:p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: Berakit</w:t>
      </w:r>
    </w:p>
    <w:p>
      <w:pPr>
        <w:spacing w:after="0" w:line="240" w:lineRule="auto"/>
        <w:ind w:left="4820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hint="default" w:ascii="Bookman Old Style" w:hAnsi="Bookman Old Style" w:cs="Arial"/>
          <w:sz w:val="24"/>
          <w:szCs w:val="24"/>
          <w:lang w:val="en-US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:</w:t>
      </w:r>
      <w:r>
        <w:rPr>
          <w:rFonts w:hint="default" w:ascii="Bookman Old Style" w:hAnsi="Bookman Old Style" w:cs="Arial"/>
          <w:sz w:val="24"/>
          <w:szCs w:val="24"/>
          <w:lang w:val="en-US"/>
        </w:rPr>
        <w:t xml:space="preserve"> 1 Januari 2023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>
      <w:pPr>
        <w:spacing w:line="240" w:lineRule="auto"/>
        <w:ind w:left="4820" w:firstLine="0" w:firstLineChars="0"/>
        <w:rPr>
          <w:rFonts w:hint="default" w:ascii="Bookman Old Style" w:hAnsi="Bookman Old Style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Bookman Old Style" w:hAnsi="Bookman Old Style" w:cs="Arial"/>
          <w:sz w:val="24"/>
          <w:szCs w:val="24"/>
        </w:rPr>
        <w:t>NIP 197410201996031004</w:t>
      </w:r>
    </w:p>
    <w:sectPr>
      <w:pgSz w:w="12240" w:h="15840"/>
      <w:pgMar w:top="1138" w:right="1138" w:bottom="141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TeX Gyre Bonu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30810"/>
    <w:multiLevelType w:val="singleLevel"/>
    <w:tmpl w:val="E7D30810"/>
    <w:lvl w:ilvl="0" w:tentative="0">
      <w:start w:val="2"/>
      <w:numFmt w:val="decimal"/>
      <w:suff w:val="space"/>
      <w:lvlText w:val="%1."/>
      <w:lvlJc w:val="left"/>
      <w:pPr>
        <w:ind w:left="303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53E68"/>
    <w:rsid w:val="0036183F"/>
    <w:rsid w:val="0059275A"/>
    <w:rsid w:val="00820EB5"/>
    <w:rsid w:val="00AD6C67"/>
    <w:rsid w:val="00F45301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  <w:rsid w:val="FFFFE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544</Words>
  <Characters>3105</Characters>
  <Lines>25</Lines>
  <Paragraphs>7</Paragraphs>
  <TotalTime>1</TotalTime>
  <ScaleCrop>false</ScaleCrop>
  <LinksUpToDate>false</LinksUpToDate>
  <CharactersWithSpaces>3642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snake</cp:lastModifiedBy>
  <dcterms:modified xsi:type="dcterms:W3CDTF">2024-02-15T08:31:45Z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