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Pengelolaan Obat yang Perlu Kewaspadaan Tinggi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Obat yang perlu diwaspadai adalah obat yang sering menyebabkan kesalahan-kesalahan serius, obat yang beresiko tinggi menyebabkan cedera dampak yang tidak diinginkan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pedoman untuk mencegah kesalahan dalam pemberian obat dan kewaspadaan obat yang bersifat high 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 di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membuat daftar obat yang perlu diwaspadai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memberikan label yang jelas pada obat yang harus diwaspadai dengan stiker bertuliskan high alert dan stiker bertuliskan LASA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Tempat penyimpanan obat yang diwaspadai diletakkan tidak berdekatan atau berjarak untuk obat yang bersifat high alert atau LASA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menyimpan obat narkotika psikotropika secara terpisah dari obat lain dengan lemari khusis dan terkunci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membuat pemesanan obat yang diwaspadai dengan menggunakan LPLPO yang disetujui oleh apoteker dan kepala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0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7. 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4" o:spt="3" type="#_x0000_t3" style="position:absolute;left:0pt;margin-left:2.65pt;margin-top:2.3pt;height:39.7pt;width:341pt;z-index:251659264;mso-width-relative:page;mso-height-relative:page;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Membuat daftar obat yang perlu diwaspadai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0" o:spid="_x0000_s1040" o:spt="32" type="#_x0000_t32" style="position:absolute;left:0pt;margin-left:166pt;margin-top:6.8pt;height:21.65pt;width:0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5" o:spt="1" style="position:absolute;left:0pt;margin-left:8.9pt;margin-top:4.95pt;height:53.2pt;width:328.2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Memberikan label yang jelas pada obat yang harus diwaspadai dengan stiker bertuliskan high alert dan stiker bertuliskan LASA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1" o:spid="_x0000_s1041" o:spt="32" type="#_x0000_t32" style="position:absolute;left:0pt;margin-left:166pt;margin-top:11.2pt;height:25.15pt;width:0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pict>
                <v:rect id="_x0000_s1031" o:spid="_x0000_s1031" o:spt="1" style="position:absolute;left:0pt;margin-left:8.9pt;margin-top:1.15pt;height:53.2pt;width:328.2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Tempat penyimpanan obat yang diwaspadai diletakkan tidak berdekatan atau berjarak untuk obat yang bersifat high alert atau LASA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margin-left:166pt;margin-top:83.05pt;height:16.15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42" o:spid="_x0000_s1042" o:spt="32" type="#_x0000_t32" style="position:absolute;left:0pt;margin-left:166pt;margin-top:7.4pt;height:22.45pt;width:0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28" o:spid="_x0000_s1028" o:spt="3" type="#_x0000_t3" style="position:absolute;left:0pt;margin-left:21.85pt;margin-top:99.2pt;height:56.25pt;width:315.25pt;z-index:251662336;mso-width-relative:page;mso-height-relative:page;" coordsize="21600,21600" o:gfxdata="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RZmktkAAAAKAQAADwAAAAAAAAABACAAAAA4AAAAZHJzL2Rvd25yZXYueG1sUEsBAhQAFAAA&#10;AAgAh07iQJvwgp4RAgAAQQQAAA4AAAAAAAAAAQAgAAAAPg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membuat pemesanan obat yang diwaspadai dengan menggunakan LPLPO yang disetujui oleh apoteker dan kepala puskesmas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8.9pt;margin-top:29.85pt;height:53.2pt;width:334.75pt;z-index:251663360;v-text-anchor:middle;mso-width-relative:page;mso-height-relative:page;" coordsize="21600,21600" o:gfxdata="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jr4N72gAAAAoB&#10;AAAPAAAAAAAAAAEAIAAAADgAAABkcnMvZG93bnJldi54bWxQSwECFAAUAAAACACHTuJAA0bShXUC&#10;AAAcBQAADgAAAAAAAAABACAAAAA/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menyimpan obat narkotika psikotropika secara terpisah dari obat lain dengan lemari khusis dan terkunci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Daftar obat yang diwaspadai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ind w:left="0" w:firstLine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C1F"/>
    <w:rsid w:val="00144B0C"/>
    <w:rsid w:val="001A481A"/>
    <w:rsid w:val="001F13CF"/>
    <w:rsid w:val="004846F4"/>
    <w:rsid w:val="0059275A"/>
    <w:rsid w:val="00820EB5"/>
    <w:rsid w:val="00924568"/>
    <w:rsid w:val="00947F53"/>
    <w:rsid w:val="00AD6C67"/>
    <w:rsid w:val="00C23AD9"/>
    <w:rsid w:val="00DC5515"/>
    <w:rsid w:val="00F10117"/>
    <w:rsid w:val="00F45301"/>
    <w:rsid w:val="0F8E3A92"/>
    <w:rsid w:val="13F9B454"/>
    <w:rsid w:val="1DFB9950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E23C4"/>
    <w:rsid w:val="57BFF526"/>
    <w:rsid w:val="5B3F4217"/>
    <w:rsid w:val="5B5FE254"/>
    <w:rsid w:val="5BFF5B7F"/>
    <w:rsid w:val="5DDF8846"/>
    <w:rsid w:val="5E9DFA0A"/>
    <w:rsid w:val="6B8A5D51"/>
    <w:rsid w:val="6CD68D3C"/>
    <w:rsid w:val="6EF26DFD"/>
    <w:rsid w:val="6F367A50"/>
    <w:rsid w:val="6FF71FA9"/>
    <w:rsid w:val="72FF134D"/>
    <w:rsid w:val="76FF8DA6"/>
    <w:rsid w:val="77274065"/>
    <w:rsid w:val="79762160"/>
    <w:rsid w:val="7B366329"/>
    <w:rsid w:val="7BAF6FD3"/>
    <w:rsid w:val="7BEFB754"/>
    <w:rsid w:val="7C97C2FD"/>
    <w:rsid w:val="7DA655DE"/>
    <w:rsid w:val="7DAFD844"/>
    <w:rsid w:val="7EBEC543"/>
    <w:rsid w:val="7F3F89E4"/>
    <w:rsid w:val="7FADDA0E"/>
    <w:rsid w:val="7FAFE672"/>
    <w:rsid w:val="7FEAB00E"/>
    <w:rsid w:val="7FFF7EA4"/>
    <w:rsid w:val="87FFDB33"/>
    <w:rsid w:val="AEF78A8C"/>
    <w:rsid w:val="AFE3EA81"/>
    <w:rsid w:val="B6F9494F"/>
    <w:rsid w:val="B9BFFFB4"/>
    <w:rsid w:val="BB37665C"/>
    <w:rsid w:val="BF7BB8BA"/>
    <w:rsid w:val="BFFF75D4"/>
    <w:rsid w:val="DBFF6689"/>
    <w:rsid w:val="DD957226"/>
    <w:rsid w:val="DDBF6A0C"/>
    <w:rsid w:val="DEF3B0BB"/>
    <w:rsid w:val="EDEAE80F"/>
    <w:rsid w:val="F38FC2DE"/>
    <w:rsid w:val="F5BD0E00"/>
    <w:rsid w:val="F6FDF583"/>
    <w:rsid w:val="F7E5F845"/>
    <w:rsid w:val="F7EE2AFD"/>
    <w:rsid w:val="F7FF23B6"/>
    <w:rsid w:val="F95AA6DB"/>
    <w:rsid w:val="FBB67508"/>
    <w:rsid w:val="FBD36A80"/>
    <w:rsid w:val="FBFBC8B3"/>
    <w:rsid w:val="FD6EB3FB"/>
    <w:rsid w:val="FD9DC852"/>
    <w:rsid w:val="FDDFE328"/>
    <w:rsid w:val="FDF9E681"/>
    <w:rsid w:val="FE5F0F47"/>
    <w:rsid w:val="FEB96F18"/>
    <w:rsid w:val="FEFFB9C9"/>
    <w:rsid w:val="FF1B73B4"/>
    <w:rsid w:val="FF7FE6BF"/>
    <w:rsid w:val="FFB36F79"/>
    <w:rsid w:val="FFBFBDA0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2"/>
        <o:r id="V:Rule4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40"/>
    <customShpInfo spid="_x0000_s1035"/>
    <customShpInfo spid="_x0000_s1041"/>
    <customShpInfo spid="_x0000_s1031"/>
    <customShpInfo spid="_x0000_s1043"/>
    <customShpInfo spid="_x0000_s1042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1833</Characters>
  <Lines>15</Lines>
  <Paragraphs>4</Paragraphs>
  <TotalTime>1</TotalTime>
  <ScaleCrop>false</ScaleCrop>
  <LinksUpToDate>false</LinksUpToDate>
  <CharactersWithSpaces>2150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apotek</cp:lastModifiedBy>
  <dcterms:modified xsi:type="dcterms:W3CDTF">2024-05-17T19:01:47Z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