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61312"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62336"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ind w:left="0" w:leftChars="0" w:firstLine="133" w:firstLineChars="0"/>
        <w:jc w:val="center"/>
        <w:rPr>
          <w:rFonts w:ascii="Bookman Old Style" w:hAnsi="Bookman Old Style" w:cs="Arial"/>
          <w:b/>
          <w:sz w:val="40"/>
          <w:szCs w:val="40"/>
        </w:rPr>
      </w:pPr>
      <w:r>
        <w:rPr>
          <w:rFonts w:hint="default" w:ascii="Bookman Old Style" w:hAnsi="Bookman Old Style" w:cs="Arial"/>
          <w:b/>
          <w:sz w:val="40"/>
          <w:szCs w:val="40"/>
        </w:rPr>
        <w:t>Pengendalian Sediaan Farmasi dan Bahan Medis Habis Pakai</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359/SOP/3/2024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59264"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4384" behindDoc="1" locked="0" layoutInCell="1" allowOverlap="1">
                  <wp:simplePos x="0" y="0"/>
                  <wp:positionH relativeFrom="column">
                    <wp:posOffset>2813685</wp:posOffset>
                  </wp:positionH>
                  <wp:positionV relativeFrom="paragraph">
                    <wp:posOffset>-613410</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0"/>
                          <a:stretch>
                            <a:fillRect/>
                          </a:stretch>
                        </pic:blipFill>
                        <pic:spPr>
                          <a:xfrm>
                            <a:off x="0" y="0"/>
                            <a:ext cx="1924685" cy="708025"/>
                          </a:xfrm>
                          <a:prstGeom prst="rect">
                            <a:avLst/>
                          </a:prstGeom>
                        </pic:spPr>
                      </pic:pic>
                    </a:graphicData>
                  </a:graphic>
                </wp:anchor>
              </w:drawing>
            </w:r>
            <w:r>
              <w:rPr>
                <w:rFonts w:hint="default" w:ascii="Arial" w:hAnsi="Arial" w:eastAsia="Times New Roman" w:cs="Arial"/>
                <w:b/>
                <w:sz w:val="28"/>
                <w:szCs w:val="28"/>
                <w:lang w:eastAsia="en-GB"/>
              </w:rPr>
              <w:t>Pengendalian Sediaan Farmasi dan Bahan Medis Habis Pakai</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rPr>
              <w:drawing>
                <wp:anchor distT="0" distB="0" distL="114300" distR="114300" simplePos="0" relativeHeight="251660288"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359/SOP/3/2024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3360" behindDoc="1" locked="0" layoutInCell="1" allowOverlap="1">
                  <wp:simplePos x="0" y="0"/>
                  <wp:positionH relativeFrom="column">
                    <wp:posOffset>1096010</wp:posOffset>
                  </wp:positionH>
                  <wp:positionV relativeFrom="paragraph">
                    <wp:posOffset>-238125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eastAsia="en-GB"/>
              </w:rPr>
            </w:pPr>
            <w:r>
              <w:rPr>
                <w:rFonts w:ascii="Bookman Old Style" w:hAnsi="Bookman Old Style" w:cs="Arial"/>
                <w:sz w:val="22"/>
                <w:szCs w:val="22"/>
                <w:lang w:eastAsia="en-GB"/>
              </w:rPr>
              <w:t>Pengendalian sediaan farmasi dan bahan medis habis pakai adalah suatu kegiatan untuk memastikan tercapainya sasaran yang diinginkan sesuai dengan strategi dan program yang telah ditetapkan sehingga tidak terjadi kelebihan dan kekurangan/kekosongan obat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Sebagai acuan untuk menghindari kekosongan obat dan pasien tidak mendapatkan obat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val="en-GB" w:eastAsia="en-GB"/>
              </w:rPr>
              <w:t xml:space="preserve">SK Kepala Puskesmas </w:t>
            </w:r>
            <w:r>
              <w:rPr>
                <w:rFonts w:hint="default" w:ascii="Bookman Old Style" w:hAnsi="Bookman Old Style" w:eastAsia="Times New Roman" w:cs="Arial"/>
                <w:sz w:val="22"/>
                <w:szCs w:val="22"/>
                <w:lang w:val="en-US" w:eastAsia="en-GB"/>
              </w:rPr>
              <w:t>nomor 030 Tahun 2024</w:t>
            </w:r>
            <w:r>
              <w:rPr>
                <w:rFonts w:ascii="Bookman Old Style" w:hAnsi="Bookman Old Style" w:eastAsia="Times New Roman" w:cs="Arial"/>
                <w:sz w:val="22"/>
                <w:szCs w:val="22"/>
                <w:lang w:val="en-GB" w:eastAsia="en-GB"/>
              </w:rPr>
              <w:t xml:space="preserve"> tentang P</w:t>
            </w:r>
            <w:r>
              <w:rPr>
                <w:rFonts w:ascii="Bookman Old Style" w:hAnsi="Bookman Old Style" w:eastAsia="Times New Roman" w:cs="Arial"/>
                <w:sz w:val="22"/>
                <w:szCs w:val="22"/>
                <w:lang w:eastAsia="en-GB"/>
              </w:rPr>
              <w:t>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2"/>
              </w:numPr>
              <w:spacing w:after="0" w:line="360" w:lineRule="auto"/>
              <w:ind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Permenkes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Pengendalian Ketersediaan</w:t>
            </w:r>
          </w:p>
          <w:p>
            <w:pPr>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melakukan substitusi sediaan farmasi dan BMHP dalam satu kelas terapi dengan persetujuan dokter/dokter gigi</w:t>
            </w:r>
          </w:p>
          <w:p>
            <w:pPr>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mengajukan permintaan sediaan farmasi dan BMHP ke BPFAK</w:t>
            </w:r>
          </w:p>
          <w:p>
            <w:pPr>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Apabila sediaan farmasi dan BMHP yang dibutuhkan tidak dapat dipenuhi oleh BPFAK maka dapat dilakukan pembelian dengan persetujuan kepala puskesmas</w:t>
            </w:r>
          </w:p>
          <w:p>
            <w:pPr>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Mekanisme pengadaan sediaan farmasi dan BMHP dilakukan sesuai peraturan perundang-undangan</w:t>
            </w:r>
          </w:p>
          <w:p>
            <w:pPr>
              <w:spacing w:after="0" w:line="360" w:lineRule="auto"/>
              <w:ind w:left="0" w:right="0" w:firstLine="0"/>
              <w:rPr>
                <w:rFonts w:ascii="Bookman Old Style" w:hAnsi="Bookman Old Style" w:eastAsia="Times New Roman" w:cs="Arial"/>
                <w:sz w:val="22"/>
                <w:szCs w:val="22"/>
                <w:lang w:eastAsia="en-GB"/>
              </w:rPr>
            </w:pPr>
          </w:p>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Pengendalian Penggunaan</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menghitung pemakaian rata-rata periode tertentu</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menentukan stok pengaman yaitu jumlah stok yang disediakan untuk mencegah terjadi sesuatu hal yang tidak terduga (keterlambatan pengiriman)</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menentukan stok optimum</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menentukan waktu tunggu yaitu waktu yang diperlukan mulai dari permintaan sampai obat diterima</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melakukan pencatatan di sistem komputer</w:t>
            </w:r>
          </w:p>
          <w:p>
            <w:pPr>
              <w:spacing w:after="0" w:line="360" w:lineRule="auto"/>
              <w:ind w:left="0" w:right="0" w:firstLine="0"/>
              <w:rPr>
                <w:rFonts w:ascii="Bookman Old Style" w:hAnsi="Bookman Old Style" w:eastAsia="Times New Roman" w:cs="Arial"/>
                <w:sz w:val="22"/>
                <w:szCs w:val="22"/>
                <w:lang w:eastAsia="en-GB"/>
              </w:rPr>
            </w:pPr>
          </w:p>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Penanganan ketika terjadi kehilangan, kerusakan, obat ditarik dan kadaluarsa</w:t>
            </w:r>
          </w:p>
          <w:p>
            <w:pPr>
              <w:numPr>
                <w:ilvl w:val="0"/>
                <w:numId w:val="5"/>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Pemusnahan dan penarikan obat harus dilaksanakan sesuai dengan ketentuan peraturan perundang-undangan yang berlaku</w:t>
            </w:r>
          </w:p>
          <w:p>
            <w:pPr>
              <w:numPr>
                <w:ilvl w:val="0"/>
                <w:numId w:val="5"/>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Barang yang akan dimusnahkan diserahkan ke BPFAK</w:t>
            </w:r>
          </w:p>
          <w:p>
            <w:pPr>
              <w:numPr>
                <w:ilvl w:val="0"/>
                <w:numId w:val="5"/>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Penarikan obat yang tidak memenuhi standar/ketentuan peraturan perundang-undangan dilakukan oleh pemillik ijin edar berdasarkan perintah penarikan oleh BPOM</w:t>
            </w:r>
          </w:p>
          <w:p>
            <w:pPr>
              <w:numPr>
                <w:ilvl w:val="0"/>
                <w:numId w:val="5"/>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Pemusnahan obat dilakukan bila: produk tidak memenuhi persyaratan mutu/rusak, telah kadaluarsa, dicabut ijin edarnya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7.  Bagan alir</w:t>
            </w: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276" w:lineRule="auto"/>
              <w:ind w:left="0" w:right="0" w:firstLine="0"/>
              <w:rPr>
                <w:rFonts w:hint="default" w:ascii="Bookman Old Style" w:hAnsi="Bookman Old Style" w:eastAsia="Times New Roman"/>
                <w:sz w:val="22"/>
                <w:szCs w:val="22"/>
                <w:lang w:val="en-US" w:eastAsia="en-GB"/>
              </w:rPr>
            </w:pPr>
            <w:r>
              <w:rPr>
                <w:rFonts w:hint="default" w:ascii="Bookman Old Style" w:hAnsi="Bookman Old Style" w:eastAsia="Times New Roman"/>
                <w:sz w:val="22"/>
                <w:szCs w:val="22"/>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240" w:lineRule="auto"/>
              <w:ind w:left="460"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Hal-hal yang perlu diperhatikan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Unit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BPFAK Bintan</w:t>
            </w:r>
          </w:p>
          <w:p>
            <w:pPr>
              <w:numPr>
                <w:ilvl w:val="0"/>
                <w:numId w:val="7"/>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Gudang obat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Dokumen terkait</w:t>
            </w:r>
          </w:p>
        </w:tc>
        <w:tc>
          <w:tcPr>
            <w:tcW w:w="7512" w:type="dxa"/>
            <w:gridSpan w:val="3"/>
            <w:shd w:val="clear" w:color="auto" w:fill="auto"/>
          </w:tcPr>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LPLPO Puskesmas</w:t>
            </w:r>
          </w:p>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Kartu stok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Rekaman historis perubahan</w:t>
            </w:r>
          </w:p>
          <w:p>
            <w:pPr>
              <w:spacing w:after="0" w:line="360" w:lineRule="auto"/>
              <w:ind w:left="0" w:right="0" w:firstLine="0"/>
              <w:jc w:val="left"/>
              <w:rPr>
                <w:rFonts w:ascii="Bookman Old Style" w:hAnsi="Bookman Old Style" w:eastAsia="Times New Roman" w:cs="Arial"/>
                <w:sz w:val="22"/>
                <w:szCs w:val="22"/>
                <w:lang w:val="en-GB" w:eastAsia="en-GB"/>
              </w:rPr>
            </w:pP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3037"/>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Yang diubah</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Isi Perubahan</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Perubahan Kapus</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11 Januari 2024</w:t>
                  </w:r>
                </w:p>
              </w:tc>
            </w:tr>
          </w:tbl>
          <w:p>
            <w:pPr>
              <w:spacing w:after="0" w:line="360" w:lineRule="auto"/>
              <w:ind w:left="0" w:right="0" w:firstLine="0"/>
              <w:jc w:val="left"/>
              <w:rPr>
                <w:rFonts w:ascii="Bookman Old Style" w:hAnsi="Bookman Old Style" w:eastAsia="Times New Roman" w:cs="Arial"/>
                <w:sz w:val="22"/>
                <w:szCs w:val="22"/>
                <w:lang w:val="id-ID" w:eastAsia="en-GB"/>
              </w:rPr>
            </w:pPr>
            <w:bookmarkStart w:id="0" w:name="_GoBack"/>
            <w:bookmarkEnd w:id="0"/>
          </w:p>
        </w:tc>
      </w:tr>
    </w:tbl>
    <w:p/>
    <w:p>
      <w:pPr>
        <w:ind w:left="0" w:firstLine="0"/>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D36076"/>
    <w:multiLevelType w:val="singleLevel"/>
    <w:tmpl w:val="BDD36076"/>
    <w:lvl w:ilvl="0" w:tentative="0">
      <w:start w:val="1"/>
      <w:numFmt w:val="decimal"/>
      <w:lvlText w:val="%1."/>
      <w:lvlJc w:val="left"/>
      <w:pPr>
        <w:tabs>
          <w:tab w:val="left" w:pos="425"/>
        </w:tabs>
        <w:ind w:left="425" w:hanging="425"/>
      </w:pPr>
      <w:rPr>
        <w:rFonts w:hint="default"/>
      </w:rPr>
    </w:lvl>
  </w:abstractNum>
  <w:abstractNum w:abstractNumId="1">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2">
    <w:nsid w:val="FFFE9AC4"/>
    <w:multiLevelType w:val="singleLevel"/>
    <w:tmpl w:val="FFFE9AC4"/>
    <w:lvl w:ilvl="0" w:tentative="0">
      <w:start w:val="1"/>
      <w:numFmt w:val="decimal"/>
      <w:lvlText w:val="%1."/>
      <w:lvlJc w:val="left"/>
      <w:pPr>
        <w:tabs>
          <w:tab w:val="left" w:pos="425"/>
        </w:tabs>
        <w:ind w:left="425" w:hanging="425"/>
      </w:pPr>
      <w:rPr>
        <w:rFonts w:hint="default"/>
      </w:rPr>
    </w:lvl>
  </w:abstractNum>
  <w:abstractNum w:abstractNumId="3">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FDFD6EA"/>
    <w:multiLevelType w:val="singleLevel"/>
    <w:tmpl w:val="7FDFD6EA"/>
    <w:lvl w:ilvl="0" w:tentative="0">
      <w:start w:val="1"/>
      <w:numFmt w:val="decimal"/>
      <w:lvlText w:val="%1."/>
      <w:lvlJc w:val="left"/>
      <w:pPr>
        <w:tabs>
          <w:tab w:val="left" w:pos="425"/>
        </w:tabs>
        <w:ind w:left="425" w:hanging="425"/>
      </w:pPr>
      <w:rPr>
        <w:rFonts w:hint="default"/>
      </w:rPr>
    </w:lvl>
  </w:abstractNum>
  <w:num w:numId="1">
    <w:abstractNumId w:val="6"/>
  </w:num>
  <w:num w:numId="2">
    <w:abstractNumId w:val="1"/>
  </w:num>
  <w:num w:numId="3">
    <w:abstractNumId w:val="0"/>
  </w:num>
  <w:num w:numId="4">
    <w:abstractNumId w:val="7"/>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1A481A"/>
    <w:rsid w:val="001F13CF"/>
    <w:rsid w:val="0059275A"/>
    <w:rsid w:val="00610EA4"/>
    <w:rsid w:val="00672B32"/>
    <w:rsid w:val="00820EB5"/>
    <w:rsid w:val="00924568"/>
    <w:rsid w:val="00947F53"/>
    <w:rsid w:val="00AD6C67"/>
    <w:rsid w:val="00AD7018"/>
    <w:rsid w:val="00BE497F"/>
    <w:rsid w:val="00C80A0F"/>
    <w:rsid w:val="00DC5515"/>
    <w:rsid w:val="00F45301"/>
    <w:rsid w:val="00F70430"/>
    <w:rsid w:val="0F8E3A92"/>
    <w:rsid w:val="13F9B454"/>
    <w:rsid w:val="14F6D448"/>
    <w:rsid w:val="176D0A46"/>
    <w:rsid w:val="276388B4"/>
    <w:rsid w:val="347FA32C"/>
    <w:rsid w:val="379B4B93"/>
    <w:rsid w:val="3AFABB4B"/>
    <w:rsid w:val="3B6E779B"/>
    <w:rsid w:val="3CAF2B21"/>
    <w:rsid w:val="3FDD1502"/>
    <w:rsid w:val="47EDE288"/>
    <w:rsid w:val="4BEFECA0"/>
    <w:rsid w:val="4F5FF148"/>
    <w:rsid w:val="54DF9A35"/>
    <w:rsid w:val="557EAFAF"/>
    <w:rsid w:val="57BE23C4"/>
    <w:rsid w:val="57BFF526"/>
    <w:rsid w:val="5B3F4217"/>
    <w:rsid w:val="5B5FE254"/>
    <w:rsid w:val="5BFF5B7F"/>
    <w:rsid w:val="5DDF8846"/>
    <w:rsid w:val="5E9DFA0A"/>
    <w:rsid w:val="5F6FD1CD"/>
    <w:rsid w:val="6CD68D3C"/>
    <w:rsid w:val="6EF26DFD"/>
    <w:rsid w:val="6F367A50"/>
    <w:rsid w:val="6F7F0014"/>
    <w:rsid w:val="6FF71FA9"/>
    <w:rsid w:val="72FF134D"/>
    <w:rsid w:val="734FCAB7"/>
    <w:rsid w:val="76FF8DA6"/>
    <w:rsid w:val="77274065"/>
    <w:rsid w:val="79762160"/>
    <w:rsid w:val="7AEFF188"/>
    <w:rsid w:val="7B366329"/>
    <w:rsid w:val="7B6F2D20"/>
    <w:rsid w:val="7BEFB754"/>
    <w:rsid w:val="7D3F6ADB"/>
    <w:rsid w:val="7D7B663F"/>
    <w:rsid w:val="7DA655DE"/>
    <w:rsid w:val="7DAFD844"/>
    <w:rsid w:val="7EBEC543"/>
    <w:rsid w:val="7F3F89E4"/>
    <w:rsid w:val="7F6EC2CF"/>
    <w:rsid w:val="7FADDA0E"/>
    <w:rsid w:val="7FAFE672"/>
    <w:rsid w:val="7FEAB00E"/>
    <w:rsid w:val="7FED3B13"/>
    <w:rsid w:val="7FFF11D8"/>
    <w:rsid w:val="7FFF7EA4"/>
    <w:rsid w:val="87FFDB33"/>
    <w:rsid w:val="AEF78A8C"/>
    <w:rsid w:val="AFE3EA81"/>
    <w:rsid w:val="B5F796E0"/>
    <w:rsid w:val="B6F9494F"/>
    <w:rsid w:val="B9BFFFB4"/>
    <w:rsid w:val="BB37665C"/>
    <w:rsid w:val="BF7BB8BA"/>
    <w:rsid w:val="BFB700AB"/>
    <w:rsid w:val="BFFF75D4"/>
    <w:rsid w:val="DBFF6689"/>
    <w:rsid w:val="DD957226"/>
    <w:rsid w:val="DDBF6A0C"/>
    <w:rsid w:val="DEF3B0BB"/>
    <w:rsid w:val="DFDC53F3"/>
    <w:rsid w:val="E6DB5866"/>
    <w:rsid w:val="EDEAE80F"/>
    <w:rsid w:val="F29729E8"/>
    <w:rsid w:val="F38FC2DE"/>
    <w:rsid w:val="F5BD0E00"/>
    <w:rsid w:val="F6FDF583"/>
    <w:rsid w:val="F79B4E56"/>
    <w:rsid w:val="F7E5F845"/>
    <w:rsid w:val="F7EE2AFD"/>
    <w:rsid w:val="F7FF23B6"/>
    <w:rsid w:val="FBB67508"/>
    <w:rsid w:val="FBD36A80"/>
    <w:rsid w:val="FBFBC8B3"/>
    <w:rsid w:val="FD6EB3FB"/>
    <w:rsid w:val="FD9DC852"/>
    <w:rsid w:val="FDF9E681"/>
    <w:rsid w:val="FEB96F18"/>
    <w:rsid w:val="FEFFB9C9"/>
    <w:rsid w:val="FF1B73B4"/>
    <w:rsid w:val="FF7FE6BF"/>
    <w:rsid w:val="FFB36F79"/>
    <w:rsid w:val="FFC9BEA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447</Words>
  <Characters>2552</Characters>
  <Lines>21</Lines>
  <Paragraphs>5</Paragraphs>
  <TotalTime>0</TotalTime>
  <ScaleCrop>false</ScaleCrop>
  <LinksUpToDate>false</LinksUpToDate>
  <CharactersWithSpaces>2994</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2024-01-30T01:41:00Z</dcterms:created>
  <dc:creator>Microsoft Office User</dc:creator>
  <cp:lastModifiedBy>snake</cp:lastModifiedBy>
  <dcterms:modified xsi:type="dcterms:W3CDTF">2024-05-21T06:36:31Z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