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672B32">
        <w:tc>
          <w:tcPr>
            <w:tcW w:w="2376" w:type="dxa"/>
          </w:tcPr>
          <w:p w:rsidR="00672B32" w:rsidRDefault="00AD70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672B32" w:rsidRDefault="00672B32">
            <w:pPr>
              <w:jc w:val="center"/>
              <w:rPr>
                <w:rFonts w:ascii="Arial" w:hAnsi="Arial" w:cs="Arial"/>
              </w:rPr>
            </w:pPr>
          </w:p>
          <w:p w:rsidR="00672B32" w:rsidRDefault="00672B32">
            <w:pPr>
              <w:jc w:val="center"/>
              <w:rPr>
                <w:rFonts w:ascii="Arial" w:hAnsi="Arial" w:cs="Arial"/>
              </w:rPr>
            </w:pPr>
          </w:p>
          <w:p w:rsidR="00672B32" w:rsidRDefault="00672B32">
            <w:pPr>
              <w:jc w:val="center"/>
              <w:rPr>
                <w:rFonts w:ascii="Arial" w:hAnsi="Arial" w:cs="Arial"/>
              </w:rPr>
            </w:pPr>
          </w:p>
          <w:p w:rsidR="00672B32" w:rsidRDefault="00672B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672B32" w:rsidRDefault="00AD701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72B32" w:rsidRDefault="00672B32">
      <w:pPr>
        <w:jc w:val="center"/>
        <w:rPr>
          <w:rFonts w:ascii="Arial" w:hAnsi="Arial" w:cs="Arial"/>
          <w:b/>
          <w:bCs/>
          <w:sz w:val="40"/>
        </w:rPr>
      </w:pPr>
    </w:p>
    <w:p w:rsidR="00672B32" w:rsidRDefault="00AD7018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672B32" w:rsidRDefault="00AD7018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Pengendalian Sediaan Farmasi dan Bahan Medis Habis Pakai</w:t>
      </w:r>
    </w:p>
    <w:p w:rsidR="00672B32" w:rsidRDefault="00672B32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672B32">
        <w:trPr>
          <w:jc w:val="center"/>
        </w:trPr>
        <w:tc>
          <w:tcPr>
            <w:tcW w:w="1418" w:type="dxa"/>
          </w:tcPr>
          <w:p w:rsidR="00672B32" w:rsidRDefault="00AD701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672B32" w:rsidRDefault="00AD701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672B32">
        <w:trPr>
          <w:jc w:val="center"/>
        </w:trPr>
        <w:tc>
          <w:tcPr>
            <w:tcW w:w="1418" w:type="dxa"/>
          </w:tcPr>
          <w:p w:rsidR="00672B32" w:rsidRDefault="00AD701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672B32" w:rsidRDefault="00AD7018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672B32">
        <w:trPr>
          <w:jc w:val="center"/>
        </w:trPr>
        <w:tc>
          <w:tcPr>
            <w:tcW w:w="1418" w:type="dxa"/>
          </w:tcPr>
          <w:p w:rsidR="00672B32" w:rsidRDefault="00AD701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672B32" w:rsidRDefault="00AD701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672B32" w:rsidRDefault="00672B32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672B32">
        <w:tc>
          <w:tcPr>
            <w:tcW w:w="5400" w:type="dxa"/>
          </w:tcPr>
          <w:p w:rsidR="00672B32" w:rsidRDefault="00AD701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672B32" w:rsidRDefault="00AD701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672B32" w:rsidRDefault="00672B3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72B32" w:rsidRDefault="00672B3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72B32" w:rsidRDefault="00672B3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72B32" w:rsidRDefault="00672B3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672B32" w:rsidRDefault="00AD701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672B32" w:rsidRDefault="00AD701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672B32" w:rsidRDefault="00672B32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672B32" w:rsidRDefault="00672B3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72B32" w:rsidRDefault="00672B3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72B32" w:rsidRDefault="00672B3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672B32" w:rsidRDefault="00672B3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/>
        </w:pict>
      </w:r>
      <w:r w:rsidRPr="00672B32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7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textbox>
              <w:txbxContent>
                <w:p w:rsidR="00672B32" w:rsidRDefault="00AD7018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672B32" w:rsidRDefault="00AD701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672B32" w:rsidRDefault="00672B32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672B32">
        <w:rPr>
          <w:rFonts w:ascii="Bookman Old Style" w:hAnsi="Bookman Old Style" w:cs="Arial"/>
          <w:b/>
          <w:sz w:val="44"/>
        </w:rPr>
        <w:pict>
          <v:shape id="Text Box 12" o:spid="_x0000_s1046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textbox>
              <w:txbxContent>
                <w:p w:rsidR="00672B32" w:rsidRDefault="00AD701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672B32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5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textbox style="layout-flow:vertical-ideographic"/>
          </v:shape>
        </w:pict>
      </w:r>
      <w:r w:rsidR="00AD7018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672B32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672B32" w:rsidRDefault="00AD701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10366</wp:posOffset>
                  </wp:positionH>
                  <wp:positionV relativeFrom="paragraph">
                    <wp:posOffset>57331</wp:posOffset>
                  </wp:positionV>
                  <wp:extent cx="1132856" cy="1104406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56" cy="110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672B32" w:rsidRPr="00610EA4" w:rsidRDefault="00AD7018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Pengendalian Sediaan Farmasi dan Bahan Medis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72B32" w:rsidRPr="00610EA4" w:rsidRDefault="00AD701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57331</wp:posOffset>
                  </wp:positionV>
                  <wp:extent cx="1230249" cy="118753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95" cy="118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2B32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72B32" w:rsidRDefault="00672B3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672B32" w:rsidRPr="00610EA4" w:rsidRDefault="00AD7018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672B32" w:rsidRPr="00610EA4" w:rsidRDefault="00AD701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672B32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72B32" w:rsidRDefault="00672B3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72B32" w:rsidRPr="00610EA4" w:rsidRDefault="00AD701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672B32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72B32" w:rsidRDefault="00672B3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72B32" w:rsidRPr="00610EA4" w:rsidRDefault="00AD701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Terbit   :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672B32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672B32" w:rsidRDefault="00672B3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672B32" w:rsidRPr="00610EA4" w:rsidRDefault="00AD7018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610EA4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610EA4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672B32" w:rsidRPr="00610EA4" w:rsidRDefault="00672B3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672B32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672B32" w:rsidRPr="00610EA4" w:rsidRDefault="00AD701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72B32" w:rsidRPr="00610EA4" w:rsidRDefault="00672B3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672B32" w:rsidRPr="00610EA4" w:rsidRDefault="00672B3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672B3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672B3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672B3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672B32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672B3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672B32" w:rsidRPr="00610EA4" w:rsidRDefault="00AD701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610EA4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672B32" w:rsidRPr="00610EA4" w:rsidRDefault="00AD701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672B32">
        <w:trPr>
          <w:trHeight w:val="125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hAnsi="Bookman Old Style" w:cs="Arial"/>
                <w:sz w:val="20"/>
                <w:szCs w:val="20"/>
                <w:lang w:eastAsia="en-GB"/>
              </w:rPr>
              <w:t xml:space="preserve">Pengendalian sediaan farmasi dan bahan medis habis pakai adalah suatu kegiatan untuk memastikan tercapainya sasaran </w:t>
            </w:r>
            <w:r w:rsidRPr="00610EA4">
              <w:rPr>
                <w:rFonts w:ascii="Bookman Old Style" w:hAnsi="Bookman Old Style" w:cs="Arial"/>
                <w:sz w:val="20"/>
                <w:szCs w:val="20"/>
                <w:lang w:eastAsia="en-GB"/>
              </w:rPr>
              <w:t>yang diinginkan sesuai dengan strategi dan program yang telah ditetapkan sehingga tidak terjadi kelebihan dan kekurangan/kekosongan obat di puskesmas</w:t>
            </w:r>
          </w:p>
        </w:tc>
      </w:tr>
      <w:tr w:rsidR="00672B32">
        <w:trPr>
          <w:trHeight w:val="125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untuk menghindari kekosongan obat dan pasien tidak mendapatkan obat</w:t>
            </w:r>
          </w:p>
        </w:tc>
      </w:tr>
      <w:tr w:rsidR="00672B32">
        <w:trPr>
          <w:trHeight w:val="125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F70430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elayanan Farmasi</w:t>
            </w:r>
          </w:p>
        </w:tc>
      </w:tr>
      <w:tr w:rsidR="00672B32">
        <w:trPr>
          <w:trHeight w:val="125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F70430" w:rsidRDefault="00AD7018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74 Tahun 2016 tentang Standar Pelayanan Kefarmasian di Puskesmas</w:t>
            </w:r>
          </w:p>
          <w:p w:rsidR="00F70430" w:rsidRPr="00610EA4" w:rsidRDefault="00F70430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672B32" w:rsidRPr="00F70430" w:rsidRDefault="00AD7018" w:rsidP="00F70430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26 Tahun 2020 tentang Perubahan atas Peraturan Menteri Kesehatan Nomor 74 Tahun 2016 tentang Stand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ar Pelayanan Kefarmasian di Puskesmas</w:t>
            </w:r>
          </w:p>
        </w:tc>
      </w:tr>
      <w:tr w:rsidR="00672B32">
        <w:trPr>
          <w:trHeight w:val="608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672B32" w:rsidRPr="00610EA4" w:rsidRDefault="00AD7018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672B32">
        <w:trPr>
          <w:trHeight w:val="468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Pengendalian Ketersediaan</w:t>
            </w:r>
          </w:p>
          <w:p w:rsidR="00672B32" w:rsidRPr="00610EA4" w:rsidRDefault="00AD701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melakukan substitusi sediaan farmasi dan BMHP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dalam satu kelas terapi dengan persetujuan dokter/dokter gigi</w:t>
            </w:r>
          </w:p>
          <w:p w:rsidR="00672B32" w:rsidRPr="00610EA4" w:rsidRDefault="00AD701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mengajukan permintaan sediaan farmasi dan BMHP ke BPFAK</w:t>
            </w:r>
          </w:p>
          <w:p w:rsidR="00672B32" w:rsidRPr="00610EA4" w:rsidRDefault="00AD701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Apabila sediaan farmasi dan BMHP yang dibutuhkan tidak dapat dipenuhi oleh BPFAK maka dapat dilakukan pembelian dengan persetujuan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kepala puskesmas</w:t>
            </w:r>
          </w:p>
          <w:p w:rsidR="00672B32" w:rsidRPr="00610EA4" w:rsidRDefault="00AD701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Mekanisme pengadaan sediaan farmasi dan BMHP dilakukan sesuai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peraturan perundang-undangan</w:t>
            </w:r>
          </w:p>
          <w:p w:rsidR="00672B32" w:rsidRPr="00610EA4" w:rsidRDefault="00672B32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  <w:p w:rsidR="00672B32" w:rsidRPr="00610EA4" w:rsidRDefault="00AD701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Pengendalian Penggunaan</w:t>
            </w:r>
          </w:p>
          <w:p w:rsidR="00672B32" w:rsidRPr="00610EA4" w:rsidRDefault="00AD701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menghitung pemakaian rata-rata periode tertentu</w:t>
            </w:r>
          </w:p>
          <w:p w:rsidR="00672B32" w:rsidRPr="00610EA4" w:rsidRDefault="00AD701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menentukan stok pengaman yaitu jumlah stok yang disediakan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untuk mencegah terjadi sesuatu hal yang tidak terduga (keterlambatan pengiriman)</w:t>
            </w:r>
          </w:p>
          <w:p w:rsidR="00672B32" w:rsidRPr="00610EA4" w:rsidRDefault="00AD701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menentukan stok optimum</w:t>
            </w:r>
          </w:p>
          <w:p w:rsidR="00672B32" w:rsidRPr="00610EA4" w:rsidRDefault="00AD701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menentukan waktu tunggu yaitu waktu yang diperlukan mulai dari permintaan sampai obat diterima</w:t>
            </w:r>
          </w:p>
          <w:p w:rsidR="00672B32" w:rsidRPr="00610EA4" w:rsidRDefault="00AD7018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melakukan pencatatan di sistem 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  <w:p w:rsidR="00672B32" w:rsidRPr="00610EA4" w:rsidRDefault="00672B32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  <w:p w:rsidR="00672B32" w:rsidRPr="00610EA4" w:rsidRDefault="00AD701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Penanganan ketika terjadi kehilangan, kerusakan, obat ditarik dan kadaluarsa</w:t>
            </w:r>
          </w:p>
          <w:p w:rsidR="00672B32" w:rsidRPr="00610EA4" w:rsidRDefault="00AD701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Pemusnahan dan penarikan obat harus dilaksanakan sesuai dengan ketentuan peraturan perundang-undangan yang berlaku</w:t>
            </w:r>
          </w:p>
          <w:p w:rsidR="00672B32" w:rsidRPr="00610EA4" w:rsidRDefault="00AD701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Barang yang akan </w:t>
            </w:r>
            <w:r w:rsidR="00C80A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dimusnahkan diserahkan ke BPFAK</w:t>
            </w:r>
          </w:p>
          <w:p w:rsidR="00672B32" w:rsidRPr="00610EA4" w:rsidRDefault="00AD701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Penarikan obat yang tidak memenuhi standar/ketentuan peraturan perundang-undangan dilakukan oleh pemillik ijin edar berdasarkan perintah penarikan oleh BPOM</w:t>
            </w:r>
          </w:p>
          <w:p w:rsidR="00672B32" w:rsidRPr="00610EA4" w:rsidRDefault="00AD7018"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Pemusnahan obat dilakukan bila: produk tidak memenuhi persyaratan mut</w:t>
            </w: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u/rusak, telah kadaluarsa, dicabut ijin edarnya</w:t>
            </w:r>
          </w:p>
        </w:tc>
      </w:tr>
      <w:tr w:rsidR="00672B32" w:rsidTr="00BE497F">
        <w:trPr>
          <w:trHeight w:val="341"/>
        </w:trPr>
        <w:tc>
          <w:tcPr>
            <w:tcW w:w="2127" w:type="dxa"/>
            <w:shd w:val="clear" w:color="auto" w:fill="auto"/>
          </w:tcPr>
          <w:p w:rsidR="00672B32" w:rsidRPr="00610EA4" w:rsidRDefault="00BE497F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</w:t>
            </w:r>
            <w:r w:rsidR="00AD7018"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.  Bagan alir</w:t>
            </w:r>
          </w:p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BE497F" w:rsidRDefault="00672B32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</w:tc>
      </w:tr>
      <w:tr w:rsidR="00672B32">
        <w:trPr>
          <w:trHeight w:val="660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7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672B32">
        <w:trPr>
          <w:trHeight w:val="646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BPFAK Bintan</w:t>
            </w:r>
          </w:p>
          <w:p w:rsidR="00672B32" w:rsidRPr="00610EA4" w:rsidRDefault="00AD7018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Gudang obat puskesmas</w:t>
            </w:r>
          </w:p>
        </w:tc>
      </w:tr>
      <w:tr w:rsidR="00672B32">
        <w:trPr>
          <w:trHeight w:val="660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 Puskesmas</w:t>
            </w:r>
          </w:p>
          <w:p w:rsidR="00672B32" w:rsidRPr="00610EA4" w:rsidRDefault="00AD7018"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Kartu stok</w:t>
            </w:r>
          </w:p>
        </w:tc>
      </w:tr>
      <w:tr w:rsidR="00672B32">
        <w:trPr>
          <w:trHeight w:val="1653"/>
        </w:trPr>
        <w:tc>
          <w:tcPr>
            <w:tcW w:w="2127" w:type="dxa"/>
            <w:shd w:val="clear" w:color="auto" w:fill="auto"/>
          </w:tcPr>
          <w:p w:rsidR="00672B32" w:rsidRPr="00610EA4" w:rsidRDefault="00AD7018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610EA4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672B32" w:rsidRPr="00610EA4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672B32" w:rsidRPr="00610EA4" w:rsidRDefault="00AD701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610EA4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672B32" w:rsidRPr="00610EA4" w:rsidRDefault="00AD701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610EA4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672B32" w:rsidRPr="00610EA4" w:rsidRDefault="00AD701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610EA4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672B32" w:rsidRPr="00610EA4" w:rsidRDefault="00AD701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610EA4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672B32" w:rsidRPr="00610EA4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672B32" w:rsidRPr="00610EA4" w:rsidRDefault="00672B3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672B32" w:rsidRPr="00610EA4" w:rsidRDefault="00672B3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672B32" w:rsidRPr="00610EA4" w:rsidRDefault="00672B3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672B32" w:rsidRPr="00610EA4" w:rsidRDefault="00672B3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672B32" w:rsidRPr="00610EA4" w:rsidRDefault="00672B3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672B32" w:rsidRDefault="00672B32"/>
    <w:p w:rsidR="00672B32" w:rsidRDefault="00672B32" w:rsidP="00BE497F">
      <w:pPr>
        <w:ind w:left="0" w:firstLine="0"/>
      </w:pPr>
    </w:p>
    <w:sectPr w:rsidR="00672B32" w:rsidSect="00672B32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018" w:rsidRDefault="00AD7018">
      <w:pPr>
        <w:spacing w:line="240" w:lineRule="auto"/>
      </w:pPr>
      <w:r>
        <w:separator/>
      </w:r>
    </w:p>
  </w:endnote>
  <w:endnote w:type="continuationSeparator" w:id="1">
    <w:p w:rsidR="00AD7018" w:rsidRDefault="00AD7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Nimbus Roman No9 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018" w:rsidRDefault="00AD7018">
      <w:pPr>
        <w:spacing w:after="0"/>
      </w:pPr>
      <w:r>
        <w:separator/>
      </w:r>
    </w:p>
  </w:footnote>
  <w:footnote w:type="continuationSeparator" w:id="1">
    <w:p w:rsidR="00AD7018" w:rsidRDefault="00AD70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D36076"/>
    <w:multiLevelType w:val="singleLevel"/>
    <w:tmpl w:val="BDD360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E9AC4"/>
    <w:multiLevelType w:val="singleLevel"/>
    <w:tmpl w:val="FFFE9A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FD6EA"/>
    <w:multiLevelType w:val="singleLevel"/>
    <w:tmpl w:val="7FDFD6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29729E8"/>
    <w:rsid w:val="F38FC2DE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9DC852"/>
    <w:rsid w:val="FDF9E681"/>
    <w:rsid w:val="FEB96F18"/>
    <w:rsid w:val="FEFFB9C9"/>
    <w:rsid w:val="FF1B73B4"/>
    <w:rsid w:val="FF7FE6BF"/>
    <w:rsid w:val="FFB36F79"/>
    <w:rsid w:val="FFC9BEAA"/>
    <w:rsid w:val="001A481A"/>
    <w:rsid w:val="001F13CF"/>
    <w:rsid w:val="0059275A"/>
    <w:rsid w:val="00610EA4"/>
    <w:rsid w:val="00672B32"/>
    <w:rsid w:val="00820EB5"/>
    <w:rsid w:val="00924568"/>
    <w:rsid w:val="00947F53"/>
    <w:rsid w:val="00AD6C67"/>
    <w:rsid w:val="00AD7018"/>
    <w:rsid w:val="00BE497F"/>
    <w:rsid w:val="00C80A0F"/>
    <w:rsid w:val="00DC5515"/>
    <w:rsid w:val="00F45301"/>
    <w:rsid w:val="00F70430"/>
    <w:rsid w:val="0F8E3A92"/>
    <w:rsid w:val="13F9B454"/>
    <w:rsid w:val="14F6D448"/>
    <w:rsid w:val="176D0A46"/>
    <w:rsid w:val="276388B4"/>
    <w:rsid w:val="347FA32C"/>
    <w:rsid w:val="3AFABB4B"/>
    <w:rsid w:val="3B6E779B"/>
    <w:rsid w:val="3CAF2B21"/>
    <w:rsid w:val="3FDD1502"/>
    <w:rsid w:val="47EDE288"/>
    <w:rsid w:val="4BEFECA0"/>
    <w:rsid w:val="4F5FF148"/>
    <w:rsid w:val="54DF9A35"/>
    <w:rsid w:val="557EAFAF"/>
    <w:rsid w:val="57BE23C4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7F0014"/>
    <w:rsid w:val="6FF71FA9"/>
    <w:rsid w:val="72FF134D"/>
    <w:rsid w:val="76FF8DA6"/>
    <w:rsid w:val="77274065"/>
    <w:rsid w:val="79762160"/>
    <w:rsid w:val="7B366329"/>
    <w:rsid w:val="7B6F2D20"/>
    <w:rsid w:val="7BEFB754"/>
    <w:rsid w:val="7D7B663F"/>
    <w:rsid w:val="7DA655DE"/>
    <w:rsid w:val="7DAFD844"/>
    <w:rsid w:val="7EBEC543"/>
    <w:rsid w:val="7F3F89E4"/>
    <w:rsid w:val="7F6EC2CF"/>
    <w:rsid w:val="7FADDA0E"/>
    <w:rsid w:val="7FAFE672"/>
    <w:rsid w:val="7FEAB00E"/>
    <w:rsid w:val="7FED3B13"/>
    <w:rsid w:val="7FFF11D8"/>
    <w:rsid w:val="7FFF7EA4"/>
    <w:rsid w:val="87FFDB33"/>
    <w:rsid w:val="AEF78A8C"/>
    <w:rsid w:val="AFE3EA81"/>
    <w:rsid w:val="B5F796E0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DFDC53F3"/>
    <w:rsid w:val="E6DB5866"/>
    <w:rsid w:val="EDEAE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32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672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9</cp:revision>
  <dcterms:created xsi:type="dcterms:W3CDTF">2024-01-29T04:41:00Z</dcterms:created>
  <dcterms:modified xsi:type="dcterms:W3CDTF">2024-04-28T15:04:00Z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