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4384"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5408"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ascii="Bookman Old Style" w:hAnsi="Bookman Old Style" w:cs="Arial"/>
          <w:b/>
          <w:sz w:val="40"/>
        </w:rPr>
      </w:pPr>
      <w:r>
        <w:rPr>
          <w:rFonts w:ascii="Bookman Old Style" w:hAnsi="Bookman Old Style" w:cs="Arial"/>
          <w:b/>
          <w:sz w:val="40"/>
        </w:rPr>
        <w:t>Penyimpanan Obat dan Bahan Medis Habis Pakai (BMHP)</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ascii="Bookman Old Style" w:hAnsi="Bookman Old Style" w:cs="Arial"/>
              </w:rPr>
            </w:pPr>
            <w:r>
              <w:rPr>
                <w:rFonts w:ascii="Bookman Old Style" w:hAnsi="Bookman Old Style" w:cs="Arial"/>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ascii="Bookman Old Style" w:hAnsi="Bookman Old Style" w:cs="Arial"/>
              </w:rPr>
            </w:pPr>
            <w:r>
              <w:rPr>
                <w:rFonts w:ascii="Bookman Old Style" w:hAnsi="Bookman Old Style" w:cs="Arial"/>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w:pict>
          <v:shape id="AutoShape 9" o:spid="_x0000_s1026" o:spt="10" type="#_x0000_t10" style="position:absolute;left:0pt;margin-left:423.95pt;margin-top:9.55pt;height:40.3pt;width:36pt;z-index:251660288;mso-width-relative:page;mso-height-relative:page;"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v:path/>
            <v:fill focussize="0,0"/>
            <v:stroke joinstyle="miter"/>
            <v:imagedata o:title=""/>
            <o:lock v:ext="edit"/>
          </v:shape>
        </w:pict>
      </w:r>
      <w:r>
        <w:rPr>
          <w:rFonts w:ascii="Bookman Old Style" w:hAnsi="Bookman Old Style" w:cs="Arial"/>
          <w:b/>
          <w:sz w:val="28"/>
        </w:rPr>
        <w:pict>
          <v:shape id="Text Box 10" o:spid="_x0000_s1044" o:spt="202" type="#_x0000_t202" style="position:absolute;left:0pt;margin-left:430.6pt;margin-top:15.1pt;height:27.35pt;width:29.55pt;z-index:251661312;mso-width-relative:page;mso-height-relative:page;"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path/>
            <v:fill focussize="0,0"/>
            <v:stroke joinstyle="miter"/>
            <v:imagedata o:title=""/>
            <o:lock v:ext="edit"/>
            <v:textbox>
              <w:txbxContent>
                <w:p>
                  <w:pPr>
                    <w:rPr>
                      <w:sz w:val="40"/>
                    </w:rPr>
                  </w:pPr>
                  <w:r>
                    <w:rPr>
                      <w:rFonts w:ascii="Arial Black" w:hAnsi="Arial Black"/>
                      <w:sz w:val="20"/>
                    </w:rPr>
                    <w:t>2</w:t>
                  </w:r>
                </w:p>
              </w:txbxContent>
            </v:textbox>
          </v:shape>
        </w:pic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w:pict>
          <v:shape id="Text Box 12" o:spid="_x0000_s1043" o:spt="202" type="#_x0000_t202" style="position:absolute;left:0pt;margin-left:411.2pt;margin-top:7.95pt;height:34pt;width:66.6pt;z-index:251663360;mso-width-relative:page;mso-height-relative:page;"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path/>
            <v:fill focussize="0,0"/>
            <v:stroke joinstyle="miter"/>
            <v:imagedata o:title=""/>
            <o:lock v:ext="edit"/>
            <v:textbox>
              <w:txbxContent>
                <w:p>
                  <w:pPr>
                    <w:rPr>
                      <w:rFonts w:ascii="Arial" w:hAnsi="Arial" w:cs="Arial"/>
                    </w:rPr>
                  </w:pPr>
                  <w:r>
                    <w:rPr>
                      <w:rFonts w:ascii="Arial" w:hAnsi="Arial" w:cs="Arial"/>
                      <w:b/>
                      <w:sz w:val="24"/>
                      <w:szCs w:val="24"/>
                    </w:rPr>
                    <w:t>Halaman</w:t>
                  </w:r>
                </w:p>
              </w:txbxContent>
            </v:textbox>
          </v:shape>
        </w:pict>
      </w:r>
      <w:r>
        <w:rPr>
          <w:rFonts w:ascii="Bookman Old Style" w:hAnsi="Bookman Old Style" w:cs="Arial"/>
          <w:b/>
          <w:sz w:val="44"/>
        </w:rPr>
        <w:pict>
          <v:shape id="AutoShape 11" o:spid="_x0000_s1042" o:spt="68" type="#_x0000_t68" style="position:absolute;left:0pt;margin-left:387.55pt;margin-top:1.85pt;height:36pt;width:109.6pt;z-index:251662336;mso-width-relative:page;mso-height-relative:page;"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v:path/>
            <v:fill focussize="0,0"/>
            <v:stroke joinstyle="miter"/>
            <v:imagedata o:title=""/>
            <o:lock v:ext="edit"/>
            <v:textbox style="layout-flow:vertical-ideographic;"/>
          </v:shape>
        </w:pict>
      </w:r>
      <w:r>
        <w:rPr>
          <w:rFonts w:ascii="Bookman Old Style" w:hAnsi="Bookman Old Style" w:cs="Arial"/>
          <w:b/>
          <w:sz w:val="28"/>
        </w:rPr>
        <w:t xml:space="preserve">DINAS KESEHATAN </w:t>
      </w:r>
    </w:p>
    <w:p>
      <w:pPr>
        <w:rPr>
          <w:rFonts w:ascii="Bookman Old Style" w:hAnsi="Bookman Old Style" w:cs="Arial"/>
          <w:b/>
          <w:sz w:val="28"/>
        </w:rPr>
      </w:pPr>
      <w:r>
        <w:rPr>
          <w:rFonts w:ascii="Bookman Old Style" w:hAnsi="Bookman Old Style" w:cs="Arial"/>
          <w:b/>
          <w:sz w:val="28"/>
        </w:rPr>
        <w:br w:type="page"/>
      </w:r>
    </w:p>
    <w:p>
      <w:pPr>
        <w:spacing w:line="240" w:lineRule="auto"/>
        <w:jc w:val="center"/>
        <w:rPr>
          <w:rFonts w:ascii="Bookman Old Style" w:hAnsi="Bookman Old Style" w:cs="Arial"/>
          <w:b/>
          <w:sz w:val="28"/>
        </w:rPr>
      </w:pP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140335</wp:posOffset>
                  </wp:positionH>
                  <wp:positionV relativeFrom="paragraph">
                    <wp:posOffset>86360</wp:posOffset>
                  </wp:positionV>
                  <wp:extent cx="908050" cy="894715"/>
                  <wp:effectExtent l="0" t="0" r="6350" b="635"/>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08050" cy="89471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ascii="Bookman Old Style" w:hAnsi="Bookman Old Style" w:eastAsia="Times New Roman" w:cs="Arial"/>
                <w:b/>
                <w:sz w:val="22"/>
                <w:szCs w:val="22"/>
                <w:lang w:eastAsia="en-GB"/>
              </w:rPr>
              <w:t>Penyimpanan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59264" behindDoc="1" locked="0" layoutInCell="1" allowOverlap="1">
                  <wp:simplePos x="0" y="0"/>
                  <wp:positionH relativeFrom="column">
                    <wp:posOffset>109855</wp:posOffset>
                  </wp:positionH>
                  <wp:positionV relativeFrom="paragraph">
                    <wp:posOffset>-49530</wp:posOffset>
                  </wp:positionV>
                  <wp:extent cx="1270635" cy="1223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70660" cy="1223158"/>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357/2024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bookmarkStart w:id="0" w:name="_GoBack"/>
            <w:bookmarkEnd w:id="0"/>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cs="Arial"/>
                <w:sz w:val="20"/>
                <w:szCs w:val="20"/>
                <w:lang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mutu sediaan obat dan bahan medis habis pakai di puskesmas</w:t>
            </w:r>
          </w:p>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0"/>
                <w:szCs w:val="20"/>
                <w:lang w:val="en-US" w:eastAsia="en-GB"/>
              </w:rPr>
            </w:pPr>
            <w:r>
              <w:rPr>
                <w:rFonts w:ascii="Bookman Old Style" w:hAnsi="Bookman Old Style" w:eastAsia="Times New Roman" w:cs="Arial"/>
                <w:sz w:val="20"/>
                <w:szCs w:val="20"/>
                <w:lang w:val="en-GB" w:eastAsia="en-GB"/>
              </w:rPr>
              <w:t>SK Kepala Puskesmas</w:t>
            </w:r>
            <w:r>
              <w:rPr>
                <w:rFonts w:hint="default" w:ascii="Bookman Old Style" w:hAnsi="Bookman Old Style" w:eastAsia="Times New Roman" w:cs="Arial"/>
                <w:sz w:val="20"/>
                <w:szCs w:val="20"/>
                <w:lang w:val="en-US" w:eastAsia="en-GB"/>
              </w:rPr>
              <w:t xml:space="preserve"> nomor 030 Tahun 2024</w:t>
            </w:r>
            <w:r>
              <w:rPr>
                <w:rFonts w:ascii="Bookman Old Style" w:hAnsi="Bookman Old Style" w:eastAsia="Times New Roman" w:cs="Arial"/>
                <w:sz w:val="20"/>
                <w:szCs w:val="20"/>
                <w:lang w:val="en-GB" w:eastAsia="en-GB"/>
              </w:rPr>
              <w:t xml:space="preserve"> tentang</w:t>
            </w:r>
            <w:r>
              <w:rPr>
                <w:rFonts w:hint="default" w:ascii="Bookman Old Style" w:hAnsi="Bookman Old Style" w:eastAsia="Times New Roman" w:cs="Arial"/>
                <w:sz w:val="20"/>
                <w:szCs w:val="20"/>
                <w:lang w:val="en-US" w:eastAsia="en-GB"/>
              </w:rPr>
              <w:t xml:space="preserve"> </w:t>
            </w:r>
            <w:r>
              <w:rPr>
                <w:rFonts w:ascii="Bookman Old Style" w:hAnsi="Bookman Old Style" w:eastAsia="Times New Roman" w:cs="Arial"/>
                <w:sz w:val="20"/>
                <w:szCs w:val="20"/>
                <w:lang w:val="en-GB" w:eastAsia="en-GB"/>
              </w:rPr>
              <w:t>P</w:t>
            </w:r>
            <w:r>
              <w:rPr>
                <w:rFonts w:ascii="Bookman Old Style" w:hAnsi="Bookman Old Style" w:eastAsia="Times New Roman" w:cs="Arial"/>
                <w:sz w:val="20"/>
                <w:szCs w:val="20"/>
                <w:lang w:eastAsia="en-GB"/>
              </w:rPr>
              <w:t>elayanan Farmasi</w:t>
            </w:r>
            <w:r>
              <w:rPr>
                <w:rFonts w:hint="default" w:ascii="Bookman Old Style" w:hAnsi="Bookman Old Style" w:eastAsia="Times New Roman" w:cs="Arial"/>
                <w:sz w:val="20"/>
                <w:szCs w:val="20"/>
                <w:lang w:val="en-US" w:eastAsia="en-GB"/>
              </w:rPr>
              <w:t xml:space="preserve">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Permenkes Nomor 26 Tahun 2020 tentang Standar Pelayanan Kefarmasian di Puskesmas</w:t>
            </w:r>
            <w:r>
              <w:rPr>
                <w:rFonts w:hint="default" w:ascii="Bookman Old Style" w:hAnsi="Bookman Old Style" w:eastAsia="Times New Roman" w:cs="Arial"/>
                <w:sz w:val="20"/>
                <w:szCs w:val="20"/>
                <w:lang w:val="en-US" w:eastAsia="en-GB"/>
              </w:rPr>
              <w:t>.</w:t>
            </w:r>
          </w:p>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id-ID" w:eastAsia="en-GB"/>
              </w:rPr>
              <w:t>Alat dan Bahan</w:t>
            </w:r>
          </w:p>
        </w:tc>
        <w:tc>
          <w:tcPr>
            <w:tcW w:w="7512" w:type="dxa"/>
            <w:gridSpan w:val="3"/>
            <w:shd w:val="clear" w:color="auto" w:fill="auto"/>
          </w:tcPr>
          <w:p>
            <w:pPr>
              <w:numPr>
                <w:ilvl w:val="0"/>
                <w:numId w:val="4"/>
              </w:numPr>
              <w:spacing w:after="0" w:line="360" w:lineRule="auto"/>
              <w:ind w:left="317" w:right="0" w:hanging="283"/>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eastAsia="en-GB"/>
              </w:rPr>
              <w:t>ATK</w:t>
            </w:r>
          </w:p>
          <w:p>
            <w:pPr>
              <w:numPr>
                <w:ilvl w:val="0"/>
                <w:numId w:val="4"/>
              </w:numPr>
              <w:spacing w:after="0" w:line="360" w:lineRule="auto"/>
              <w:ind w:left="317" w:right="0" w:hanging="283"/>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eastAsia="en-GB"/>
              </w:rPr>
              <w:t>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Langkah-langkah</w:t>
            </w:r>
          </w:p>
        </w:tc>
        <w:tc>
          <w:tcPr>
            <w:tcW w:w="7512" w:type="dxa"/>
            <w:gridSpan w:val="3"/>
            <w:shd w:val="clear" w:color="auto" w:fill="auto"/>
          </w:tcPr>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menerima obat dan BMHP dari Balai Pengelolaan Farmasi dan Alat Kesehatan (BPFAK)</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mencatat mutasi masuk pada sistem komputer</w:t>
            </w:r>
            <w:r>
              <w:rPr>
                <w:rFonts w:hint="default" w:ascii="Bookman Old Style" w:hAnsi="Bookman Old Style" w:eastAsia="Times New Roman" w:cs="Arial"/>
                <w:sz w:val="20"/>
                <w:szCs w:val="20"/>
                <w:lang w:val="en-US" w:eastAsia="en-GB"/>
              </w:rPr>
              <w:t xml:space="preserve"> atau kartu stok</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dan menyusun obat dan BMHP berdasarkan prinsip </w:t>
            </w:r>
            <w:r>
              <w:rPr>
                <w:rFonts w:ascii="Bookman Old Style" w:hAnsi="Bookman Old Style" w:eastAsia="Times New Roman" w:cs="Arial"/>
                <w:i/>
                <w:iCs/>
                <w:sz w:val="20"/>
                <w:szCs w:val="20"/>
                <w:lang w:eastAsia="en-GB"/>
              </w:rPr>
              <w:t xml:space="preserve">First In First Out </w:t>
            </w:r>
            <w:r>
              <w:rPr>
                <w:rFonts w:ascii="Bookman Old Style" w:hAnsi="Bookman Old Style" w:eastAsia="Times New Roman" w:cs="Arial"/>
                <w:sz w:val="20"/>
                <w:szCs w:val="20"/>
                <w:lang w:eastAsia="en-GB"/>
              </w:rPr>
              <w:t xml:space="preserve">(FIFO) dan </w:t>
            </w:r>
            <w:r>
              <w:rPr>
                <w:rFonts w:ascii="Bookman Old Style" w:hAnsi="Bookman Old Style" w:eastAsia="Times New Roman" w:cs="Arial"/>
                <w:i/>
                <w:iCs/>
                <w:sz w:val="20"/>
                <w:szCs w:val="20"/>
                <w:lang w:eastAsia="en-GB"/>
              </w:rPr>
              <w:t xml:space="preserve">First Expired First Out </w:t>
            </w:r>
            <w:r>
              <w:rPr>
                <w:rFonts w:ascii="Bookman Old Style" w:hAnsi="Bookman Old Style" w:eastAsia="Times New Roman" w:cs="Arial"/>
                <w:sz w:val="20"/>
                <w:szCs w:val="20"/>
                <w:lang w:eastAsia="en-GB"/>
              </w:rPr>
              <w:t>(FEFO)</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menyimpan obat berdasarkan bentuk sediaan</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obat narkotika psikotropika terpisah dari obat lain pada lemari khusus (Lemari </w:t>
            </w:r>
            <w:r>
              <w:rPr>
                <w:rFonts w:ascii="Bookman Old Style" w:hAnsi="Bookman Old Style" w:eastAsia="Times New Roman" w:cs="Arial"/>
                <w:i/>
                <w:iCs/>
                <w:sz w:val="20"/>
                <w:szCs w:val="20"/>
                <w:lang w:eastAsia="en-GB"/>
              </w:rPr>
              <w:t>doublelock</w:t>
            </w:r>
            <w:r>
              <w:rPr>
                <w:rFonts w:ascii="Bookman Old Style" w:hAnsi="Bookman Old Style" w:eastAsia="Times New Roman" w:cs="Arial"/>
                <w:sz w:val="20"/>
                <w:szCs w:val="20"/>
                <w:lang w:eastAsia="en-GB"/>
              </w:rPr>
              <w:t>/kunci ganda)</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stok opname secara berkala (setiap 3 bulan) dan membuat laporan persediaan obat dan BMHP</w:t>
            </w:r>
          </w:p>
          <w:p>
            <w:pPr>
              <w:numPr>
                <w:ilvl w:val="0"/>
                <w:numId w:val="5"/>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Bagan alir</w:t>
            </w:r>
          </w:p>
        </w:tc>
        <w:tc>
          <w:tcPr>
            <w:tcW w:w="7512" w:type="dxa"/>
            <w:gridSpan w:val="3"/>
            <w:shd w:val="clear" w:color="auto" w:fill="auto"/>
            <w:vAlign w:val="top"/>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2089" o:spt="3" type="#_x0000_t3" style="position:absolute;left:0pt;margin-left:2.65pt;margin-top:5pt;height:40.6pt;width:338.2pt;z-index:251667456;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left"/>
                          <w:rPr>
                            <w:rFonts w:ascii="Bookman Old Style" w:hAnsi="Bookman Old Style"/>
                            <w:sz w:val="20"/>
                            <w:szCs w:val="20"/>
                          </w:rPr>
                        </w:pPr>
                        <w:r>
                          <w:rPr>
                            <w:rFonts w:ascii="Bookman Old Style" w:hAnsi="Bookman Old Style"/>
                            <w:sz w:val="20"/>
                            <w:szCs w:val="20"/>
                          </w:rPr>
                          <w:t>Petugas farmasi menerima obat dan BMHP dariBPFAK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2090" o:spid="_x0000_s2090" o:spt="32" type="#_x0000_t32" style="position:absolute;left:0pt;margin-left:170.7pt;margin-top:10.4pt;height:17.95pt;width:0pt;z-index:25167462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2091" o:spt="1" style="position:absolute;left:0pt;margin-left:2.65pt;margin-top:4.9pt;height:28.8pt;width:338.2pt;z-index:251668480;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center"/>
                          <w:rPr>
                            <w:rFonts w:hint="default" w:ascii="Bookman Old Style" w:hAnsi="Bookman Old Style" w:cs="Arial"/>
                            <w:sz w:val="20"/>
                            <w:szCs w:val="20"/>
                            <w:lang w:val="en-US"/>
                          </w:rPr>
                        </w:pPr>
                        <w:r>
                          <w:rPr>
                            <w:rFonts w:ascii="Bookman Old Style" w:hAnsi="Bookman Old Style" w:eastAsia="Times New Roman" w:cs="Arial"/>
                            <w:sz w:val="20"/>
                            <w:szCs w:val="20"/>
                            <w:lang w:eastAsia="en-GB"/>
                          </w:rPr>
                          <w:t>Mencatat mutasi masuk pada sistem komputer</w:t>
                        </w:r>
                        <w:r>
                          <w:rPr>
                            <w:rFonts w:hint="default" w:ascii="Bookman Old Style" w:hAnsi="Bookman Old Style" w:eastAsia="Times New Roman" w:cs="Arial"/>
                            <w:sz w:val="20"/>
                            <w:szCs w:val="20"/>
                            <w:lang w:val="en-US" w:eastAsia="en-GB"/>
                          </w:rPr>
                          <w:t xml:space="preserve"> atau kartu stok</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2092" o:spid="_x0000_s2092" o:spt="32" type="#_x0000_t32" style="position:absolute;left:0pt;margin-left:171.3pt;margin-top:10.25pt;height:17.95pt;width:0pt;z-index:251675648;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_x0000_s2093" o:spid="_x0000_s2093" o:spt="1" style="position:absolute;left:0pt;margin-left:2.65pt;margin-top:4.55pt;height:35.4pt;width:338.2pt;z-index:251669504;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20"/>
                            <w:szCs w:val="20"/>
                          </w:rPr>
                        </w:pPr>
                        <w:r>
                          <w:rPr>
                            <w:rFonts w:ascii="Bookman Old Style" w:hAnsi="Bookman Old Style" w:cs="Arial"/>
                            <w:sz w:val="20"/>
                            <w:szCs w:val="20"/>
                          </w:rPr>
                          <w:t>Menyimpan dan menyusun obat dan BMHP berdasarkan prinsip FIFO dan FEFO</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shape id="_x0000_s2094" o:spid="_x0000_s2094" o:spt="32" type="#_x0000_t32" style="position:absolute;left:0pt;margin-left:170.95pt;margin-top:5.95pt;height:17.95pt;width:0pt;z-index:25167667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rect id="_x0000_s2095" o:spid="_x0000_s2095" o:spt="1" style="position:absolute;left:0pt;margin-left:2.5pt;margin-top:1pt;height:27.9pt;width:338.35pt;z-index:251671552;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20"/>
                            <w:szCs w:val="20"/>
                          </w:rPr>
                        </w:pPr>
                        <w:r>
                          <w:rPr>
                            <w:rFonts w:ascii="Bookman Old Style" w:hAnsi="Bookman Old Style" w:cs="Arial"/>
                            <w:sz w:val="20"/>
                            <w:szCs w:val="20"/>
                          </w:rPr>
                          <w:t>Menyimpan obat berdasarkan bentuk sediaan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leftChars="0" w:right="0" w:rightChars="0" w:firstLine="0" w:firstLineChars="0"/>
              <w:rPr>
                <w:rFonts w:ascii="Bookman Old Style" w:hAnsi="Bookman Old Style" w:eastAsia="Times New Roman" w:cs="Times New Roman"/>
                <w:sz w:val="20"/>
                <w:szCs w:val="20"/>
                <w:lang w:val="en-US" w:eastAsia="en-GB" w:bidi="ar-SA"/>
              </w:rPr>
            </w:pPr>
            <w:r>
              <w:rPr>
                <w:sz w:val="20"/>
                <w:szCs w:val="20"/>
              </w:rPr>
              <w:pict>
                <v:shape id="_x0000_s2096" o:spid="_x0000_s2096" o:spt="32" type="#_x0000_t32" style="position:absolute;left:0pt;margin-left:171.8pt;margin-top:147.4pt;height:17.95pt;width:0pt;z-index:251679744;mso-width-relative:page;mso-height-relative:page;" o:connectortype="straight" filled="f" coordsize="21600,21600">
                  <v:path arrowok="t"/>
                  <v:fill on="f" focussize="0,0"/>
                  <v:stroke endarrow="block"/>
                  <v:imagedata o:title=""/>
                  <o:lock v:ext="edit"/>
                </v:shape>
              </w:pict>
            </w:r>
            <w:r>
              <w:rPr>
                <w:sz w:val="20"/>
                <w:szCs w:val="20"/>
              </w:rPr>
              <w:pict>
                <v:shape id="_x0000_s2097" o:spid="_x0000_s2097" o:spt="32" type="#_x0000_t32" style="position:absolute;left:0pt;margin-left:171.2pt;margin-top:78.4pt;height:17.95pt;width:0pt;z-index:251678720;mso-width-relative:page;mso-height-relative:page;" o:connectortype="straight" filled="f" coordsize="21600,21600">
                  <v:path arrowok="t"/>
                  <v:fill on="f" focussize="0,0"/>
                  <v:stroke endarrow="block"/>
                  <v:imagedata o:title=""/>
                  <o:lock v:ext="edit"/>
                </v:shape>
              </w:pict>
            </w:r>
            <w:r>
              <w:rPr>
                <w:sz w:val="20"/>
                <w:szCs w:val="20"/>
              </w:rPr>
              <w:pict>
                <v:shape id="_x0000_s2098" o:spid="_x0000_s2098" o:spt="32" type="#_x0000_t32" style="position:absolute;left:0pt;margin-left:171.55pt;margin-top:7.5pt;height:17.95pt;width:0pt;z-index:251677696;mso-width-relative:page;mso-height-relative:page;" o:connectortype="straight" filled="f" coordsize="21600,21600">
                  <v:path arrowok="t"/>
                  <v:fill on="f" focussize="0,0"/>
                  <v:stroke endarrow="block"/>
                  <v:imagedata o:title=""/>
                  <o:lock v:ext="edit"/>
                </v:shape>
              </w:pict>
            </w:r>
            <w:r>
              <w:rPr>
                <w:sz w:val="20"/>
                <w:szCs w:val="20"/>
              </w:rPr>
              <w:pict>
                <v:shape id="_x0000_s2099" o:spid="_x0000_s2099" o:spt="3" type="#_x0000_t3" style="position:absolute;left:0pt;margin-left:39.55pt;margin-top:168.85pt;height:53.35pt;width:252.85pt;z-index:251670528;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20"/>
                            <w:szCs w:val="20"/>
                          </w:rPr>
                        </w:pPr>
                        <w:r>
                          <w:rPr>
                            <w:rFonts w:ascii="Bookman Old Style" w:hAnsi="Bookman Old Style"/>
                            <w:sz w:val="20"/>
                            <w:szCs w:val="20"/>
                          </w:rPr>
                          <w:t>Melakukan kontrol rutin terhadap tanggal kadaluarsa obat dan BMHP</w:t>
                        </w:r>
                      </w:p>
                    </w:txbxContent>
                  </v:textbox>
                </v:shape>
              </w:pict>
            </w:r>
            <w:r>
              <w:rPr>
                <w:sz w:val="20"/>
                <w:szCs w:val="20"/>
              </w:rPr>
              <w:pict>
                <v:rect id="_x0000_s2100" o:spid="_x0000_s2100" o:spt="1" style="position:absolute;left:0pt;margin-left:2.65pt;margin-top:97.7pt;height:48.45pt;width:338.2pt;z-index:251673600;v-text-anchor:middle;mso-width-relative:page;mso-height-relative:page;"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20"/>
                            <w:szCs w:val="20"/>
                          </w:rPr>
                        </w:pPr>
                        <w:r>
                          <w:rPr>
                            <w:rFonts w:ascii="Bookman Old Style" w:hAnsi="Bookman Old Style" w:cs="Arial"/>
                            <w:sz w:val="20"/>
                            <w:szCs w:val="20"/>
                          </w:rPr>
                          <w:t>Melakukan stok opname secara berkala (setiap 3 bulan) dan membuat laporan persediaan obat dan BMHP</w:t>
                        </w:r>
                      </w:p>
                    </w:txbxContent>
                  </v:textbox>
                </v:rect>
              </w:pict>
            </w:r>
            <w:r>
              <w:rPr>
                <w:sz w:val="20"/>
                <w:szCs w:val="20"/>
              </w:rPr>
              <w:pict>
                <v:rect id="_x0000_s2101" o:spid="_x0000_s2101" o:spt="1" style="position:absolute;left:0pt;margin-left:2.65pt;margin-top:26.15pt;height:48.45pt;width:332.75pt;z-index:251672576;v-text-anchor:middle;mso-width-relative:page;mso-height-relative:page;"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20"/>
                            <w:szCs w:val="20"/>
                          </w:rPr>
                        </w:pPr>
                        <w:r>
                          <w:rPr>
                            <w:rFonts w:ascii="Bookman Old Style" w:hAnsi="Bookman Old Style" w:cs="Arial"/>
                            <w:sz w:val="20"/>
                            <w:szCs w:val="20"/>
                          </w:rPr>
                          <w:t>Menyimpan obat narkotika psikotropika terpisah dari obat lain pada lemari khusus (Lemari double lock/kunci ganda)</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Hal-hal yang perlu diperhatikan</w:t>
            </w:r>
          </w:p>
        </w:tc>
        <w:tc>
          <w:tcPr>
            <w:tcW w:w="7512" w:type="dxa"/>
            <w:gridSpan w:val="3"/>
            <w:shd w:val="clear" w:color="auto" w:fill="auto"/>
          </w:tcPr>
          <w:p>
            <w:pPr>
              <w:numPr>
                <w:ilvl w:val="0"/>
                <w:numId w:val="7"/>
              </w:numPr>
              <w:spacing w:after="0" w:line="360" w:lineRule="auto"/>
              <w:ind w:right="0"/>
              <w:jc w:val="left"/>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Sebagian besar obat disimpan pada suhu kamar (</w:t>
            </w:r>
            <w:r>
              <w:rPr>
                <w:rFonts w:ascii="Abyssinica SIL" w:hAnsi="Abyssinica SIL" w:eastAsia="Times New Roman" w:cs="Abyssinica SIL"/>
                <w:sz w:val="20"/>
                <w:szCs w:val="20"/>
                <w:lang w:eastAsia="en-GB"/>
              </w:rPr>
              <w:t>±</w:t>
            </w:r>
            <w:r>
              <w:rPr>
                <w:rFonts w:ascii="Bookman Old Style" w:hAnsi="Bookman Old Style" w:eastAsia="Times New Roman" w:cs="Bookman Old Style"/>
                <w:sz w:val="20"/>
                <w:szCs w:val="20"/>
                <w:lang w:eastAsia="en-GB"/>
              </w:rPr>
              <w:t>25</w:t>
            </w:r>
            <w:r>
              <w:rPr>
                <w:rFonts w:ascii="Abyssinica SIL" w:hAnsi="Abyssinica SIL" w:eastAsia="Times New Roman" w:cs="Abyssinica SIL"/>
                <w:sz w:val="20"/>
                <w:szCs w:val="20"/>
                <w:lang w:eastAsia="en-GB"/>
              </w:rPr>
              <w:t>°</w:t>
            </w:r>
            <w:r>
              <w:rPr>
                <w:rFonts w:ascii="Bookman Old Style" w:hAnsi="Bookman Old Style" w:eastAsia="Times New Roman" w:cs="Bookman Old Style"/>
                <w:sz w:val="20"/>
                <w:szCs w:val="20"/>
                <w:lang w:eastAsia="en-GB"/>
              </w:rPr>
              <w:t>C)</w:t>
            </w:r>
          </w:p>
          <w:p>
            <w:pPr>
              <w:numPr>
                <w:ilvl w:val="0"/>
                <w:numId w:val="7"/>
              </w:numPr>
              <w:spacing w:after="0" w:line="360" w:lineRule="auto"/>
              <w:ind w:right="0"/>
              <w:jc w:val="left"/>
              <w:rPr>
                <w:rFonts w:ascii="Bookman Old Style" w:hAnsi="Bookman Old Style" w:eastAsia="Times New Roman" w:cs="Arial"/>
                <w:sz w:val="20"/>
                <w:szCs w:val="20"/>
                <w:lang w:eastAsia="en-GB"/>
              </w:rPr>
            </w:pPr>
            <w:r>
              <w:rPr>
                <w:rFonts w:ascii="Bookman Old Style" w:hAnsi="Bookman Old Style" w:eastAsia="Times New Roman" w:cs="Bookman Old Style"/>
                <w:sz w:val="20"/>
                <w:szCs w:val="20"/>
                <w:lang w:eastAsia="en-GB"/>
              </w:rPr>
              <w:t>Vaksin disimpan dalam lemari pendingin vaksin</w:t>
            </w:r>
          </w:p>
          <w:p>
            <w:pPr>
              <w:numPr>
                <w:ilvl w:val="0"/>
                <w:numId w:val="7"/>
              </w:numPr>
              <w:spacing w:after="0" w:line="360" w:lineRule="auto"/>
              <w:ind w:right="0"/>
              <w:jc w:val="left"/>
              <w:rPr>
                <w:rFonts w:ascii="Bookman Old Style" w:hAnsi="Bookman Old Style" w:eastAsia="Times New Roman" w:cs="Arial"/>
                <w:sz w:val="20"/>
                <w:szCs w:val="20"/>
                <w:lang w:eastAsia="en-GB"/>
              </w:rPr>
            </w:pPr>
            <w:r>
              <w:rPr>
                <w:rFonts w:ascii="Bookman Old Style" w:hAnsi="Bookman Old Style" w:eastAsia="Times New Roman" w:cs="Bookman Old Style"/>
                <w:sz w:val="20"/>
                <w:szCs w:val="20"/>
                <w:lang w:eastAsia="en-GB"/>
              </w:rPr>
              <w:t>Narkotika dan psikotropika disimpan pada lemari khusus dengan kunci ganda</w:t>
            </w:r>
          </w:p>
          <w:p>
            <w:pPr>
              <w:numPr>
                <w:ilvl w:val="0"/>
                <w:numId w:val="7"/>
              </w:numPr>
              <w:spacing w:after="0" w:line="360" w:lineRule="auto"/>
              <w:ind w:right="0"/>
              <w:jc w:val="left"/>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Sediaan lain yang seperti suppositoria, serum, probiotik disimpan dalam lemari pendingin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Unit terkait</w:t>
            </w:r>
          </w:p>
        </w:tc>
        <w:tc>
          <w:tcPr>
            <w:tcW w:w="7512" w:type="dxa"/>
            <w:gridSpan w:val="3"/>
            <w:shd w:val="clear" w:color="auto" w:fill="auto"/>
          </w:tcPr>
          <w:p>
            <w:pPr>
              <w:numPr>
                <w:ilvl w:val="0"/>
                <w:numId w:val="8"/>
              </w:numPr>
              <w:spacing w:after="0" w:line="360" w:lineRule="auto"/>
              <w:ind w:left="425" w:leftChars="0" w:right="0" w:hanging="425" w:firstLineChars="0"/>
              <w:jc w:val="left"/>
              <w:rPr>
                <w:rFonts w:hint="default" w:ascii="Bookman Old Style" w:hAnsi="Bookman Old Style" w:eastAsia="Times New Roman" w:cs="Arial"/>
                <w:sz w:val="20"/>
                <w:szCs w:val="20"/>
                <w:lang w:val="en-US" w:eastAsia="en-GB"/>
              </w:rPr>
            </w:pPr>
            <w:r>
              <w:rPr>
                <w:rFonts w:hint="default" w:ascii="Bookman Old Style" w:hAnsi="Bookman Old Style" w:eastAsia="Times New Roman" w:cs="Arial"/>
                <w:sz w:val="20"/>
                <w:szCs w:val="20"/>
                <w:lang w:val="en-US" w:eastAsia="en-GB"/>
              </w:rPr>
              <w:t>Ruang farmasi</w:t>
            </w:r>
          </w:p>
          <w:p>
            <w:pPr>
              <w:numPr>
                <w:ilvl w:val="0"/>
                <w:numId w:val="8"/>
              </w:numPr>
              <w:spacing w:after="0" w:line="360" w:lineRule="auto"/>
              <w:ind w:left="425" w:leftChars="0" w:right="0" w:hanging="425" w:firstLineChars="0"/>
              <w:jc w:val="left"/>
              <w:rPr>
                <w:rFonts w:hint="default" w:ascii="Bookman Old Style" w:hAnsi="Bookman Old Style" w:eastAsia="Times New Roman" w:cs="Arial"/>
                <w:sz w:val="20"/>
                <w:szCs w:val="20"/>
                <w:lang w:val="en-US" w:eastAsia="en-GB"/>
              </w:rPr>
            </w:pPr>
            <w:r>
              <w:rPr>
                <w:rFonts w:hint="default" w:ascii="Bookman Old Style" w:hAnsi="Bookman Old Style" w:eastAsia="Times New Roman" w:cs="Arial"/>
                <w:sz w:val="20"/>
                <w:szCs w:val="20"/>
                <w:lang w:val="en-US" w:eastAsia="en-GB"/>
              </w:rPr>
              <w:t>Seluruh unit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9"/>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SBBK</w:t>
            </w:r>
          </w:p>
          <w:p>
            <w:pPr>
              <w:numPr>
                <w:ilvl w:val="0"/>
                <w:numId w:val="9"/>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rPr>
          <w:sz w:val="20"/>
          <w:szCs w:val="20"/>
        </w:rPr>
      </w:pPr>
    </w:p>
    <w:p>
      <w:pPr>
        <w:rPr>
          <w:sz w:val="20"/>
          <w:szCs w:val="20"/>
        </w:rPr>
      </w:pPr>
    </w:p>
    <w:p>
      <w:pPr>
        <w:rPr>
          <w:sz w:val="20"/>
          <w:szCs w:val="20"/>
        </w:rPr>
      </w:pPr>
    </w:p>
    <w:p>
      <w:pPr>
        <w:rPr>
          <w:sz w:val="20"/>
          <w:szCs w:val="20"/>
        </w:rPr>
      </w:pPr>
    </w:p>
    <w:p>
      <w:pPr>
        <w:rPr>
          <w:sz w:val="20"/>
          <w:szCs w:val="20"/>
        </w:rPr>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Abyssinica SIL">
    <w:panose1 w:val="02000000000000000000"/>
    <w:charset w:val="00"/>
    <w:family w:val="auto"/>
    <w:pitch w:val="default"/>
    <w:sig w:usb0="800000EF" w:usb1="5000A04B" w:usb2="00000828" w:usb3="00000000" w:csb0="20000001"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B414"/>
    <w:multiLevelType w:val="singleLevel"/>
    <w:tmpl w:val="B6DCB414"/>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BF66666"/>
    <w:multiLevelType w:val="singleLevel"/>
    <w:tmpl w:val="FBF66666"/>
    <w:lvl w:ilvl="0" w:tentative="0">
      <w:start w:val="1"/>
      <w:numFmt w:val="decimal"/>
      <w:lvlText w:val="%1."/>
      <w:lvlJc w:val="left"/>
      <w:pPr>
        <w:tabs>
          <w:tab w:val="left" w:pos="425"/>
        </w:tabs>
        <w:ind w:left="425" w:hanging="425"/>
      </w:pPr>
      <w:rPr>
        <w:rFonts w:hint="default"/>
      </w:r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5">
    <w:nsid w:val="4D5EAE2A"/>
    <w:multiLevelType w:val="singleLevel"/>
    <w:tmpl w:val="4D5EAE2A"/>
    <w:lvl w:ilvl="0" w:tentative="0">
      <w:start w:val="1"/>
      <w:numFmt w:val="decimal"/>
      <w:lvlText w:val="%1."/>
      <w:lvlJc w:val="left"/>
      <w:pPr>
        <w:tabs>
          <w:tab w:val="left" w:pos="425"/>
        </w:tabs>
        <w:ind w:left="425" w:hanging="425"/>
      </w:pPr>
      <w:rPr>
        <w:rFonts w:hint="default"/>
      </w:rPr>
    </w:lvl>
  </w:abstractNum>
  <w:abstractNum w:abstractNumId="6">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7"/>
  </w:num>
  <w:num w:numId="2">
    <w:abstractNumId w:val="2"/>
  </w:num>
  <w:num w:numId="3">
    <w:abstractNumId w:val="1"/>
  </w:num>
  <w:num w:numId="4">
    <w:abstractNumId w:val="4"/>
  </w:num>
  <w:num w:numId="5">
    <w:abstractNumId w:val="8"/>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74364"/>
    <w:rsid w:val="001A481A"/>
    <w:rsid w:val="001F13CF"/>
    <w:rsid w:val="0059275A"/>
    <w:rsid w:val="00815715"/>
    <w:rsid w:val="00820EB5"/>
    <w:rsid w:val="008A3D52"/>
    <w:rsid w:val="00924568"/>
    <w:rsid w:val="00947F53"/>
    <w:rsid w:val="00AD6C67"/>
    <w:rsid w:val="00DC5515"/>
    <w:rsid w:val="00F45301"/>
    <w:rsid w:val="00FB4D43"/>
    <w:rsid w:val="0F8E3A92"/>
    <w:rsid w:val="13F9B454"/>
    <w:rsid w:val="276388B4"/>
    <w:rsid w:val="347FA32C"/>
    <w:rsid w:val="367DB2DB"/>
    <w:rsid w:val="3B6E779B"/>
    <w:rsid w:val="3CAF2B21"/>
    <w:rsid w:val="3FDD1502"/>
    <w:rsid w:val="47EDE288"/>
    <w:rsid w:val="4BEFECA0"/>
    <w:rsid w:val="4F5FF148"/>
    <w:rsid w:val="557EAFAF"/>
    <w:rsid w:val="57BE23C4"/>
    <w:rsid w:val="57BFF526"/>
    <w:rsid w:val="58D37338"/>
    <w:rsid w:val="5B3F4217"/>
    <w:rsid w:val="5B5FE254"/>
    <w:rsid w:val="5BFB08C1"/>
    <w:rsid w:val="5BFF5B7F"/>
    <w:rsid w:val="5DDF8846"/>
    <w:rsid w:val="5DDFBCC6"/>
    <w:rsid w:val="5E9DFA0A"/>
    <w:rsid w:val="69EE6EC3"/>
    <w:rsid w:val="6CD68D3C"/>
    <w:rsid w:val="6EF26DFD"/>
    <w:rsid w:val="6F367A50"/>
    <w:rsid w:val="6FF71FA9"/>
    <w:rsid w:val="72D373F5"/>
    <w:rsid w:val="72FF134D"/>
    <w:rsid w:val="76FF8DA6"/>
    <w:rsid w:val="77274065"/>
    <w:rsid w:val="796C9177"/>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6FE9737"/>
    <w:rsid w:val="87FFDB33"/>
    <w:rsid w:val="8FDE6A27"/>
    <w:rsid w:val="A5EF0929"/>
    <w:rsid w:val="AEF78A8C"/>
    <w:rsid w:val="AFE3EA81"/>
    <w:rsid w:val="B6F9494F"/>
    <w:rsid w:val="B9BFFFB4"/>
    <w:rsid w:val="BB37665C"/>
    <w:rsid w:val="BF7BB8BA"/>
    <w:rsid w:val="BFFF75D4"/>
    <w:rsid w:val="DBFF6689"/>
    <w:rsid w:val="DD957226"/>
    <w:rsid w:val="DDBF6A0C"/>
    <w:rsid w:val="DEF3B0BB"/>
    <w:rsid w:val="DFAB3E19"/>
    <w:rsid w:val="E366CCEC"/>
    <w:rsid w:val="E8BFEF42"/>
    <w:rsid w:val="EDEAE80F"/>
    <w:rsid w:val="EEC7D212"/>
    <w:rsid w:val="EEFB5170"/>
    <w:rsid w:val="EFBF9919"/>
    <w:rsid w:val="F38FC2DE"/>
    <w:rsid w:val="F5BD0E00"/>
    <w:rsid w:val="F6CD1233"/>
    <w:rsid w:val="F6DB62A6"/>
    <w:rsid w:val="F6FDF583"/>
    <w:rsid w:val="F7BE0004"/>
    <w:rsid w:val="F7E5F845"/>
    <w:rsid w:val="F7EE2AFD"/>
    <w:rsid w:val="F7FF23B6"/>
    <w:rsid w:val="FBB67508"/>
    <w:rsid w:val="FBD36A80"/>
    <w:rsid w:val="FBFBC8B3"/>
    <w:rsid w:val="FD5E3EFB"/>
    <w:rsid w:val="FD6EB3FB"/>
    <w:rsid w:val="FD9DC852"/>
    <w:rsid w:val="FDF9E681"/>
    <w:rsid w:val="FDFB9CEE"/>
    <w:rsid w:val="FEB96F18"/>
    <w:rsid w:val="FEFFB9C9"/>
    <w:rsid w:val="FF1B73B4"/>
    <w:rsid w:val="FF7FE6BF"/>
    <w:rsid w:val="FFB36F79"/>
    <w:rsid w:val="FFC9BE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0"/>
        <o:r id="V:Rule2" type="connector" idref="#_x0000_s2092"/>
        <o:r id="V:Rule3" type="connector" idref="#_x0000_s2094"/>
        <o:r id="V:Rule4" type="connector" idref="#_x0000_s2096"/>
        <o:r id="V:Rule5" type="connector" idref="#_x0000_s2097"/>
        <o:r id="V:Rule6" type="connector" idref="#_x0000_s2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4"/>
    <customShpInfo spid="_x0000_s1043"/>
    <customShpInfo spid="_x0000_s1042"/>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2497</Characters>
  <Lines>20</Lines>
  <Paragraphs>5</Paragraphs>
  <TotalTime>1</TotalTime>
  <ScaleCrop>false</ScaleCrop>
  <LinksUpToDate>false</LinksUpToDate>
  <CharactersWithSpaces>2930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apotek</cp:lastModifiedBy>
  <dcterms:modified xsi:type="dcterms:W3CDTF">2024-05-16T15:03:51Z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