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155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tabs>
          <w:tab w:val="left" w:pos="1760"/>
        </w:tabs>
        <w:ind w:left="0" w:leftChars="0" w:firstLine="133" w:firstLineChars="0"/>
        <w:jc w:val="center"/>
        <w:rPr>
          <w:rFonts w:hint="default" w:ascii="Bookman Old Style" w:hAnsi="Bookman Old Style" w:cs="Arial"/>
          <w:b/>
          <w:sz w:val="40"/>
          <w:szCs w:val="40"/>
          <w:lang w:val="en-US"/>
        </w:rPr>
      </w:pPr>
      <w:r>
        <w:rPr>
          <w:rFonts w:hint="default" w:ascii="Bookman Old Style" w:hAnsi="Bookman Old Style" w:cs="Arial"/>
          <w:b/>
          <w:sz w:val="40"/>
          <w:szCs w:val="40"/>
        </w:rPr>
        <w:t>Perencanaan Kebutuhan Obat dan Bahan Medis Habis Pakai (BMHP</w:t>
      </w:r>
      <w:r>
        <w:rPr>
          <w:rFonts w:hint="default" w:ascii="Bookman Old Style" w:hAnsi="Bookman Old Style" w:cs="Arial"/>
          <w:b/>
          <w:sz w:val="40"/>
          <w:szCs w:val="40"/>
          <w:lang w:val="en-US"/>
        </w:rPr>
        <w:t>)</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353/SOP/3/2024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8480"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Perencanaan Kebutuhan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950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353/SOP/3/2024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3600" behindDoc="1" locked="0" layoutInCell="1" allowOverlap="1">
                  <wp:simplePos x="0" y="0"/>
                  <wp:positionH relativeFrom="column">
                    <wp:posOffset>2786380</wp:posOffset>
                  </wp:positionH>
                  <wp:positionV relativeFrom="paragraph">
                    <wp:posOffset>-2636520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r>
              <w:rPr>
                <w:rFonts w:hint="default" w:ascii="Bookman Old Style" w:hAnsi="Bookman Old Style" w:eastAsia="Times New Roman" w:cs="Arial"/>
                <w:sz w:val="16"/>
                <w:szCs w:val="16"/>
                <w:lang w:val="en-US" w:eastAsia="en-GB"/>
              </w:rPr>
              <w:drawing>
                <wp:anchor distT="0" distB="0" distL="114300" distR="114300" simplePos="0" relativeHeight="251672576" behindDoc="1" locked="0" layoutInCell="1" allowOverlap="1">
                  <wp:simplePos x="0" y="0"/>
                  <wp:positionH relativeFrom="column">
                    <wp:posOffset>1096010</wp:posOffset>
                  </wp:positionH>
                  <wp:positionV relativeFrom="paragraph">
                    <wp:posOffset>-551815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Perencanaan kebutuhan obat dan bahan medis habis pakai adalah kegiatan untuk menentukan jenis dan jumlah obat dan bahan medis habis pakai (BMHP) yang tepat sesuai dengan kebutuhan pelayanan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Mendapatkan jenis dan jumlah dan obat dan bahan medis habis pakai sesuai dengan kebutuhan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efisiensi penggunaan obat dan bahan medis habis pakai</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penggunaan obat secara rasional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w:t>
            </w:r>
            <w:r>
              <w:rPr>
                <w:rFonts w:ascii="Bookman Old Style" w:hAnsi="Bookman Old Style" w:eastAsia="Times New Roman" w:cs="Arial"/>
                <w:sz w:val="22"/>
                <w:szCs w:val="22"/>
                <w:lang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w:t>
            </w:r>
            <w:r>
              <w:rPr>
                <w:rFonts w:hint="default" w:ascii="Bookman Old Style" w:hAnsi="Bookman Old Style" w:eastAsia="Times New Roman" w:cs="Arial"/>
                <w:sz w:val="22"/>
                <w:szCs w:val="22"/>
                <w:lang w:val="en-US" w:eastAsia="en-GB"/>
              </w:rPr>
              <w:t xml:space="preserve"> </w:t>
            </w:r>
            <w:r>
              <w:rPr>
                <w:rFonts w:ascii="Bookman Old Style" w:hAnsi="Bookman Old Style" w:eastAsia="Times New Roman" w:cs="Arial"/>
                <w:sz w:val="22"/>
                <w:szCs w:val="22"/>
                <w:lang w:eastAsia="en-GB"/>
              </w:rPr>
              <w:t>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pengumpulan data penggunaan obat periode sebelumnya (data konsumsi), sisa stok dan usulan kebutuhan obat dari semua jaringan pelayanan puskesmas</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memperkirakan kebutuhan periode yang akan datang ditambah stok penyangga (</w:t>
            </w:r>
            <w:r>
              <w:rPr>
                <w:rFonts w:ascii="Bookman Old Style" w:hAnsi="Bookman Old Style" w:eastAsia="Times New Roman" w:cs="Arial"/>
                <w:i/>
                <w:iCs/>
                <w:sz w:val="22"/>
                <w:szCs w:val="22"/>
                <w:lang w:eastAsia="en-GB"/>
              </w:rPr>
              <w:t>buffer stock)</w:t>
            </w:r>
            <w:r>
              <w:rPr>
                <w:rFonts w:ascii="Bookman Old Style" w:hAnsi="Bookman Old Style" w:eastAsia="Times New Roman" w:cs="Arial"/>
                <w:sz w:val="22"/>
                <w:szCs w:val="22"/>
                <w:lang w:eastAsia="en-GB"/>
              </w:rPr>
              <w:t>. Buffer stock ditentukan dengan mempertimbangkan waktu tunggu, penerimaan obat, serta kemungkinan perubahan pola penyakit dan kenaikan jumlah kunjungan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menyusun dan menghitung rencana kebutuhan menggunakan metode yang sesuai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Data pemakaian, sisa stok dan permintaan kebutuhan sediaan farmasi dan BMHP dilaporkan dalam Laporan Pemakaian dan Lembar Permintaan Obat (LPLPO)</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Laporan pemakaian berisi jumlah pemakaian sediaan farmasi dalam satu periode dan lembar permintaan berisi jumlah kebutuhan sediaan farmasi dan BMHP dalam satu periode. LPLPO puskesmas menjadi dasar untuk rencana kebutuhan obat tingkat puskesmas dan digunakan sebagai data pengajuan kebutuhan sediaan farmasi dan BMHP ke Dinas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vAlign w:val="top"/>
          </w:tcPr>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Gudang obat puskesmas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Ruang farmasi</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Polindes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Pustu</w:t>
            </w:r>
          </w:p>
          <w:p>
            <w:pPr>
              <w:numPr>
                <w:ilvl w:val="0"/>
                <w:numId w:val="5"/>
              </w:numPr>
              <w:spacing w:after="0" w:line="360" w:lineRule="auto"/>
              <w:ind w:left="424" w:leftChars="0" w:right="0" w:rightChars="0" w:hanging="360" w:firstLineChars="0"/>
              <w:jc w:val="left"/>
              <w:rPr>
                <w:rFonts w:ascii="Bookman Old Style" w:hAnsi="Bookman Old Style" w:eastAsia="Times New Roman" w:cs="Arial"/>
                <w:sz w:val="20"/>
                <w:szCs w:val="20"/>
                <w:lang w:val="en-GB" w:eastAsia="en-GB" w:bidi="ar-SA"/>
              </w:rPr>
            </w:pPr>
            <w:r>
              <w:rPr>
                <w:rFonts w:ascii="Bookman Old Style" w:hAnsi="Bookman Old Style" w:eastAsia="Times New Roman" w:cs="Arial"/>
                <w:sz w:val="20"/>
                <w:szCs w:val="20"/>
                <w:lang w:eastAsia="en-GB"/>
              </w:rPr>
              <w:t>Seluruh ruang pelayanan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7.  Bagan alir</w:t>
            </w: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1034" o:spt="3" type="#_x0000_t3" style="position:absolute;left:0pt;margin-left:2.65pt;margin-top:2.3pt;height:59.9pt;width:334.45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Melakukan pengumpulan data konsumsi, sisa stok dan usulan kebutuhan obat dari semua jaringan pelayanan puskesmas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0" o:spid="_x0000_s1040" o:spt="32" type="#_x0000_t32" style="position:absolute;left:0pt;margin-left:172.55pt;margin-top:3.5pt;height:19.7pt;width:0.95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5" o:spt="1" style="position:absolute;left:0pt;margin-left:8.8pt;margin-top:-0.25pt;height:42pt;width:318.95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Memperkirakan kebutuhan periode yang akan datang ditambah stok penyangga</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1" o:spid="_x0000_s1041" o:spt="32" type="#_x0000_t32" style="position:absolute;left:0pt;margin-left:174.1pt;margin-top:6.2pt;height:19.7pt;width:0.95pt;z-index:251665408;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1" o:spid="_x0000_s1031" o:spt="1" style="position:absolute;left:0pt;margin-left:8.8pt;margin-top:5.35pt;height:43.15pt;width:333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Menyusun dan menghitung rencana kebutuhan menggunakan metode yang sesuai</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2" o:spid="_x0000_s1042" o:spt="32" type="#_x0000_t32" style="position:absolute;left:0pt;margin-left:173.75pt;margin-top:9.9pt;height:19.7pt;width:0.95pt;z-index:251666432;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3" o:spid="_x0000_s1043" o:spt="32" type="#_x0000_t32" style="position:absolute;left:0pt;margin-left:171.85pt;margin-top:50.4pt;height:19.7pt;width:0.95pt;z-index:251667456;mso-width-relative:page;mso-height-relative:page;" o:connectortype="straight" filled="f" coordsize="21600,21600">
                  <v:path arrowok="t"/>
                  <v:fill on="f" focussize="0,0"/>
                  <v:stroke endarrow="block"/>
                  <v:imagedata o:title=""/>
                  <o:lock v:ext="edit"/>
                </v:shape>
              </w:pict>
            </w:r>
            <w:r>
              <w:rPr>
                <w:sz w:val="20"/>
                <w:szCs w:val="20"/>
              </w:rPr>
              <w:pict>
                <v:shape id="_x0000_s1028" o:spid="_x0000_s1028" o:spt="3" type="#_x0000_t3" style="position:absolute;left:0pt;margin-left:68.75pt;margin-top:67pt;height:48.65pt;width:213.2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LPLPO dikirim ke Dinas Kesehatan / BPFAK</w:t>
                        </w:r>
                      </w:p>
                    </w:txbxContent>
                  </v:textbox>
                </v:shape>
              </w:pict>
            </w:r>
            <w:r>
              <w:rPr>
                <w:sz w:val="20"/>
                <w:szCs w:val="20"/>
              </w:rPr>
              <w:pict>
                <v:rect id="_x0000_s1029" o:spid="_x0000_s1029" o:spt="1" style="position:absolute;left:0pt;margin-left:8.8pt;margin-top:18.4pt;height:35.5pt;width:333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Data pemakaian, sisa stok dan permintaan kebutuhan sediaan farmasi dan BMHP dilaporkan dalam LPLPO</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LPLPO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1460"/>
              <w:gridCol w:w="1263"/>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bookmarkStart w:id="0" w:name="_GoBack"/>
                  <w:bookmarkEnd w:id="0"/>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gridSpan w:val="2"/>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gridSpan w:val="2"/>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gridSpan w:val="2"/>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gridSpan w:val="2"/>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7" w:type="dxa"/>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gridSpan w:val="2"/>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7" w:type="dxa"/>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gridSpan w:val="2"/>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DF6D2FF9"/>
    <w:multiLevelType w:val="singleLevel"/>
    <w:tmpl w:val="DF6D2FF9"/>
    <w:lvl w:ilvl="0" w:tentative="0">
      <w:start w:val="1"/>
      <w:numFmt w:val="decimal"/>
      <w:lvlText w:val="%1."/>
      <w:lvlJc w:val="left"/>
      <w:pPr>
        <w:tabs>
          <w:tab w:val="left" w:pos="425"/>
        </w:tabs>
        <w:ind w:left="425" w:hanging="425"/>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307973"/>
    <w:rsid w:val="004F6554"/>
    <w:rsid w:val="005804F4"/>
    <w:rsid w:val="0059275A"/>
    <w:rsid w:val="00776E21"/>
    <w:rsid w:val="00820EB5"/>
    <w:rsid w:val="00924568"/>
    <w:rsid w:val="00947F53"/>
    <w:rsid w:val="00AD6C67"/>
    <w:rsid w:val="00BA6AE4"/>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5FBD3F1C"/>
    <w:rsid w:val="6AF58E81"/>
    <w:rsid w:val="6CD68D3C"/>
    <w:rsid w:val="6EF26DFD"/>
    <w:rsid w:val="6F367A50"/>
    <w:rsid w:val="6FDBC93F"/>
    <w:rsid w:val="6FF71FA9"/>
    <w:rsid w:val="72FF134D"/>
    <w:rsid w:val="73977264"/>
    <w:rsid w:val="76FF8DA6"/>
    <w:rsid w:val="77274065"/>
    <w:rsid w:val="777BC7A6"/>
    <w:rsid w:val="77F521AC"/>
    <w:rsid w:val="79762160"/>
    <w:rsid w:val="7B366329"/>
    <w:rsid w:val="7BEFB754"/>
    <w:rsid w:val="7DA655DE"/>
    <w:rsid w:val="7DAFD844"/>
    <w:rsid w:val="7EBEC543"/>
    <w:rsid w:val="7EEAD3F4"/>
    <w:rsid w:val="7F3F89E4"/>
    <w:rsid w:val="7F600C50"/>
    <w:rsid w:val="7FADDA0E"/>
    <w:rsid w:val="7FAFE672"/>
    <w:rsid w:val="7FEAB00E"/>
    <w:rsid w:val="7FF1C4B4"/>
    <w:rsid w:val="7FFAC06E"/>
    <w:rsid w:val="7FFE5F4F"/>
    <w:rsid w:val="7FFF7EA4"/>
    <w:rsid w:val="87FFDB33"/>
    <w:rsid w:val="95D80E5C"/>
    <w:rsid w:val="AEBA43AD"/>
    <w:rsid w:val="AEF78A8C"/>
    <w:rsid w:val="AF97C614"/>
    <w:rsid w:val="AFE3EA81"/>
    <w:rsid w:val="B6F9494F"/>
    <w:rsid w:val="B9BFFFB4"/>
    <w:rsid w:val="BB37665C"/>
    <w:rsid w:val="BF7BB8BA"/>
    <w:rsid w:val="BFFF75D4"/>
    <w:rsid w:val="CEF76266"/>
    <w:rsid w:val="DBFF5F2E"/>
    <w:rsid w:val="DBFF6689"/>
    <w:rsid w:val="DD957226"/>
    <w:rsid w:val="DDBF6A0C"/>
    <w:rsid w:val="DEF3B0BB"/>
    <w:rsid w:val="E7DEA318"/>
    <w:rsid w:val="EBF7203C"/>
    <w:rsid w:val="EDEAE80F"/>
    <w:rsid w:val="EF5F5FEC"/>
    <w:rsid w:val="EFCDEE02"/>
    <w:rsid w:val="F38FC2DE"/>
    <w:rsid w:val="F556A3B8"/>
    <w:rsid w:val="F5BD0E00"/>
    <w:rsid w:val="F6FDF583"/>
    <w:rsid w:val="F7E5F845"/>
    <w:rsid w:val="F7EDC915"/>
    <w:rsid w:val="F7EE2AFD"/>
    <w:rsid w:val="F7FF23B6"/>
    <w:rsid w:val="FBB67508"/>
    <w:rsid w:val="FBD36A80"/>
    <w:rsid w:val="FBFBC8B3"/>
    <w:rsid w:val="FD3F5D0F"/>
    <w:rsid w:val="FD6EB3FB"/>
    <w:rsid w:val="FD9DC852"/>
    <w:rsid w:val="FDF9E681"/>
    <w:rsid w:val="FEB96F18"/>
    <w:rsid w:val="FEFFB9C9"/>
    <w:rsid w:val="FF1B73B4"/>
    <w:rsid w:val="FF7FE6BF"/>
    <w:rsid w:val="FFB36F79"/>
    <w:rsid w:val="FFBF7185"/>
    <w:rsid w:val="FFC9BEAA"/>
    <w:rsid w:val="FFEFEC50"/>
    <w:rsid w:val="FFFBAC3F"/>
    <w:rsid w:val="FFFF20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0"/>
        <o:r id="V:Rule2" type="connector" idref="#_x0000_s1041"/>
        <o:r id="V:Rule3" type="connector" idref="#_x0000_s1042"/>
        <o:r id="V:Rule4" type="connector" idref="#_x0000_s104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4"/>
    <customShpInfo spid="_x0000_s1040"/>
    <customShpInfo spid="_x0000_s1035"/>
    <customShpInfo spid="_x0000_s1041"/>
    <customShpInfo spid="_x0000_s1031"/>
    <customShpInfo spid="_x0000_s1042"/>
    <customShpInfo spid="_x0000_s1043"/>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421</Words>
  <Characters>2401</Characters>
  <Lines>20</Lines>
  <Paragraphs>5</Paragraphs>
  <TotalTime>0</TotalTime>
  <ScaleCrop>false</ScaleCrop>
  <LinksUpToDate>false</LinksUpToDate>
  <CharactersWithSpaces>2817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2024-01-29T18:41:00Z</dcterms:created>
  <dc:creator>Microsoft Office User</dc:creator>
  <cp:lastModifiedBy>snake</cp:lastModifiedBy>
  <dcterms:modified xsi:type="dcterms:W3CDTF">2024-05-21T06:35:28Z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