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Konseling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367/SOP/3/2024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hint="default" w:ascii="Bookman Old Style" w:hAnsi="Bookman Old Style" w:eastAsia="Times New Roman" w:cs="Arial"/>
                <w:color w:val="000000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2</w:t>
            </w:r>
            <w:bookmarkStart w:id="0" w:name="_GoBack"/>
            <w:bookmarkEnd w:id="0"/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cs="Arial"/>
                <w:lang w:eastAsia="en-GB"/>
              </w:rPr>
              <w:t>Konseling obat merupakan suatu proses untuk mengidentifikasi dan menyelesaikan masalah pasien yang berkaitan dengan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Memberikan pemahaman yang benar mengenai obat kepada pasien/keluarga pasien antara lain tujuan pengobatan, jadwal pengobatan, cara dan lama penggunaan obat, efek samping, tanda-tanda toksisitas, cara penyimpanan dan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UPTD 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Puskesmas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BerakitNomor 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tentangPelayanan Kefarmasian</w:t>
            </w:r>
            <w:r>
              <w:rPr>
                <w:rFonts w:ascii="Bookman Old Style" w:hAnsi="Bookman Old Style" w:eastAsia="Times New Roman" w:cs="Arial"/>
                <w:lang w:eastAsia="en-GB"/>
              </w:rPr>
              <w:t>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Membuka komunikasi antara apoteker dan pasien/keluarga pasien;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Menanyakan 3 (tiga) pertanyaan kunci tentang obat yang diresepkan dokter dengan pertanyaan terbuka: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 xml:space="preserve">Untuk resep baru menggunakan 3 </w:t>
            </w:r>
            <w:r>
              <w:rPr>
                <w:rFonts w:ascii="Bookman Old Style" w:hAnsi="Bookman Old Style" w:eastAsia="Times New Roman" w:cs="Arial"/>
                <w:b/>
                <w:i/>
                <w:lang w:eastAsia="en-GB"/>
              </w:rPr>
              <w:t>prime question</w:t>
            </w:r>
            <w:r>
              <w:rPr>
                <w:rFonts w:ascii="Bookman Old Style" w:hAnsi="Bookman Old Style" w:eastAsia="Times New Roman" w:cs="Arial"/>
                <w:b/>
                <w:lang w:eastAsia="en-GB"/>
              </w:rPr>
              <w:t>: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ind w:left="100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 yang telah dokter katakan mengenai obat ini?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ind w:left="100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Bagaimana dokter menerangkan cara pemakaian?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ind w:left="100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 hasil yang diharapkan dari penggunaan obat ini?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Untuk resep ulangan:</w:t>
            </w:r>
          </w:p>
          <w:p>
            <w:pPr>
              <w:pStyle w:val="5"/>
              <w:numPr>
                <w:ilvl w:val="2"/>
                <w:numId w:val="2"/>
              </w:numPr>
              <w:spacing w:after="0" w:line="360" w:lineRule="auto"/>
              <w:ind w:left="1005" w:right="0" w:hanging="36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 gejala atau keluhan yang dirasakan pasien?</w:t>
            </w:r>
          </w:p>
          <w:p>
            <w:pPr>
              <w:pStyle w:val="5"/>
              <w:numPr>
                <w:ilvl w:val="2"/>
                <w:numId w:val="2"/>
              </w:numPr>
              <w:spacing w:after="0" w:line="360" w:lineRule="auto"/>
              <w:ind w:left="1005" w:right="0" w:hanging="36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Bagaimana cara pemakaian obat?</w:t>
            </w:r>
          </w:p>
          <w:p>
            <w:pPr>
              <w:pStyle w:val="5"/>
              <w:numPr>
                <w:ilvl w:val="2"/>
                <w:numId w:val="2"/>
              </w:numPr>
              <w:spacing w:after="0" w:line="360" w:lineRule="auto"/>
              <w:ind w:left="1005" w:right="0" w:hanging="36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Apakah ada keluhan selama penggunaan obat?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 xml:space="preserve">Memberikan pelayanan informasi obat sesuai resep dan penjelasan/klarifikasi dari jawaban pasien mengenai 3 </w:t>
            </w:r>
            <w:r>
              <w:rPr>
                <w:rFonts w:ascii="Bookman Old Style" w:hAnsi="Bookman Old Style" w:eastAsia="Times New Roman" w:cs="Arial"/>
                <w:i/>
                <w:lang w:eastAsia="en-GB"/>
              </w:rPr>
              <w:t>prime question</w:t>
            </w:r>
            <w:r>
              <w:rPr>
                <w:rFonts w:ascii="Bookman Old Style" w:hAnsi="Bookman Old Style" w:eastAsia="Times New Roman" w:cs="Arial"/>
                <w:lang w:eastAsia="en-GB"/>
              </w:rPr>
              <w:t>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Memanfaatkan media edukasi obat jika diperlukan;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Memperagakan dan menjelaskan mengenai pemakaian obat tertentu (inhaler, suppositoria, obat tetes, dan lain-lain) secara langsung dan/atau menggunakan media edukasi;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Melakukan verifikasi akhir meliputi: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Mengecek pemahaman pasien;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Mengidentifikasi dan menyelesaikan masalah yang berhubungan dengan cara penggunaan obat untuk mengoptimalkan terapi;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Melakukan pencatatan konseling yang dilakukan pada Buku konseling obat.</w:t>
            </w: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rFonts w:ascii="Bookman Old Style" w:hAnsi="Bookman Old Style" w:eastAsia="Times New Roman"/>
                <w:lang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Buku konseling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05D49"/>
    <w:multiLevelType w:val="multilevel"/>
    <w:tmpl w:val="5BF05D4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)"/>
      <w:lvlJc w:val="lef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16C8F"/>
    <w:multiLevelType w:val="multilevel"/>
    <w:tmpl w:val="71116C8F"/>
    <w:lvl w:ilvl="0" w:tentative="0">
      <w:start w:val="1"/>
      <w:numFmt w:val="decimal"/>
      <w:lvlText w:val="%1)"/>
      <w:lvlJc w:val="left"/>
      <w:pPr>
        <w:ind w:left="1545" w:hanging="360"/>
      </w:pPr>
    </w:lvl>
    <w:lvl w:ilvl="1" w:tentative="0">
      <w:start w:val="1"/>
      <w:numFmt w:val="lowerLetter"/>
      <w:lvlText w:val="%2."/>
      <w:lvlJc w:val="left"/>
      <w:pPr>
        <w:ind w:left="2265" w:hanging="360"/>
      </w:pPr>
    </w:lvl>
    <w:lvl w:ilvl="2" w:tentative="0">
      <w:start w:val="1"/>
      <w:numFmt w:val="lowerRoman"/>
      <w:lvlText w:val="%3."/>
      <w:lvlJc w:val="right"/>
      <w:pPr>
        <w:ind w:left="2985" w:hanging="180"/>
      </w:pPr>
    </w:lvl>
    <w:lvl w:ilvl="3" w:tentative="0">
      <w:start w:val="1"/>
      <w:numFmt w:val="decimal"/>
      <w:lvlText w:val="%4."/>
      <w:lvlJc w:val="left"/>
      <w:pPr>
        <w:ind w:left="3705" w:hanging="360"/>
      </w:pPr>
    </w:lvl>
    <w:lvl w:ilvl="4" w:tentative="0">
      <w:start w:val="1"/>
      <w:numFmt w:val="lowerLetter"/>
      <w:lvlText w:val="%5."/>
      <w:lvlJc w:val="left"/>
      <w:pPr>
        <w:ind w:left="4425" w:hanging="360"/>
      </w:pPr>
    </w:lvl>
    <w:lvl w:ilvl="5" w:tentative="0">
      <w:start w:val="1"/>
      <w:numFmt w:val="lowerRoman"/>
      <w:lvlText w:val="%6."/>
      <w:lvlJc w:val="right"/>
      <w:pPr>
        <w:ind w:left="5145" w:hanging="180"/>
      </w:pPr>
    </w:lvl>
    <w:lvl w:ilvl="6" w:tentative="0">
      <w:start w:val="1"/>
      <w:numFmt w:val="decimal"/>
      <w:lvlText w:val="%7."/>
      <w:lvlJc w:val="left"/>
      <w:pPr>
        <w:ind w:left="5865" w:hanging="360"/>
      </w:pPr>
    </w:lvl>
    <w:lvl w:ilvl="7" w:tentative="0">
      <w:start w:val="1"/>
      <w:numFmt w:val="lowerLetter"/>
      <w:lvlText w:val="%8."/>
      <w:lvlJc w:val="left"/>
      <w:pPr>
        <w:ind w:left="6585" w:hanging="360"/>
      </w:pPr>
    </w:lvl>
    <w:lvl w:ilvl="8" w:tentative="0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12AF4"/>
    <w:rsid w:val="000F0515"/>
    <w:rsid w:val="001976E0"/>
    <w:rsid w:val="001A481A"/>
    <w:rsid w:val="001F13CF"/>
    <w:rsid w:val="002233BB"/>
    <w:rsid w:val="002A600B"/>
    <w:rsid w:val="003402F7"/>
    <w:rsid w:val="00515B1C"/>
    <w:rsid w:val="0059275A"/>
    <w:rsid w:val="00820EB5"/>
    <w:rsid w:val="008D18EF"/>
    <w:rsid w:val="00924568"/>
    <w:rsid w:val="00947F53"/>
    <w:rsid w:val="00A04F94"/>
    <w:rsid w:val="00AD6C67"/>
    <w:rsid w:val="00B2650B"/>
    <w:rsid w:val="00DB5238"/>
    <w:rsid w:val="00DC5515"/>
    <w:rsid w:val="00F45301"/>
    <w:rsid w:val="00FE512A"/>
    <w:rsid w:val="0F9B8C32"/>
    <w:rsid w:val="37EBDB68"/>
    <w:rsid w:val="3B6E779B"/>
    <w:rsid w:val="3CAF2B21"/>
    <w:rsid w:val="47DFE940"/>
    <w:rsid w:val="4BEFECA0"/>
    <w:rsid w:val="56DF1CFB"/>
    <w:rsid w:val="5B3F4217"/>
    <w:rsid w:val="5B5FE254"/>
    <w:rsid w:val="5E9DFA0A"/>
    <w:rsid w:val="5FF10549"/>
    <w:rsid w:val="6CD68D3C"/>
    <w:rsid w:val="6FF71FA9"/>
    <w:rsid w:val="72367397"/>
    <w:rsid w:val="72FF134D"/>
    <w:rsid w:val="77F5347E"/>
    <w:rsid w:val="7F3F89E4"/>
    <w:rsid w:val="7FEAB00E"/>
    <w:rsid w:val="7FFB3917"/>
    <w:rsid w:val="9F2FFB88"/>
    <w:rsid w:val="9FFC244E"/>
    <w:rsid w:val="BC9F201B"/>
    <w:rsid w:val="C6EBD1D2"/>
    <w:rsid w:val="D5D9C270"/>
    <w:rsid w:val="DDBF6A0C"/>
    <w:rsid w:val="DFF759DE"/>
    <w:rsid w:val="F7078E51"/>
    <w:rsid w:val="F79DD1FB"/>
    <w:rsid w:val="FBEE0979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1818</Characters>
  <Lines>19</Lines>
  <Paragraphs>5</Paragraphs>
  <TotalTime>3</TotalTime>
  <ScaleCrop>false</ScaleCrop>
  <LinksUpToDate>false</LinksUpToDate>
  <CharactersWithSpaces>2069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2024-01-28T07:41:00Z</dcterms:created>
  <dc:creator>Microsoft Office User</dc:creator>
  <cp:lastModifiedBy>apotek</cp:lastModifiedBy>
  <dcterms:modified xsi:type="dcterms:W3CDTF">2024-05-17T16:59:05Z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