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ind w:left="0" w:leftChars="0" w:firstLine="133" w:firstLineChars="0"/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Evaluasi Ketersediaan Obat Terhadap Formularium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361/SOP/3/2024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2868295</wp:posOffset>
                  </wp:positionH>
                  <wp:positionV relativeFrom="paragraph">
                    <wp:posOffset>-613410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Evaluasi Ketersediaan Obat Terhadap Formularium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30480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361/SOP/3/2024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1054735</wp:posOffset>
                  </wp:positionH>
                  <wp:positionV relativeFrom="paragraph">
                    <wp:posOffset>-559435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Evaluasi ketersediaan obat terhadap Formularium Puskesmas adalah serangkaian prosedur untuk menghitung presentase ketersediaan obat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menerapkan langkah-langkah evaluasi ketersediaan obat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mencatat item persediaan obat yang terdapat di puskesmas setiap bulan.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menghitung ketersediaan obat terhadap Formularium Puskesmas sesuai perhitungan berikut ini: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% ketersediaan = A/B x 100%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="990" w:right="0" w:rightChars="0" w:hanging="990" w:hangingChars="45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A = Jumlah item persediaan obat yang sesuai dengan formularium puskesmas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="990" w:right="0" w:rightChars="0" w:hanging="990" w:hangingChars="45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B = Jumlah seluruh item obat dalam formularium puskesmas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hasil evaluasi ketersediaan obat terhadap Formularium Puskesmas kepada PJ UKP, PJ Mutu, dan Kepala Puskesmas setiap bulan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bersama Kepala Puskesmas, PJ UKP, dan PJ Mutu menetapkan rencana tindak lanjut dari hasil evaluasi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Kepala Puskesmas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UKP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mencatat item persediaan obat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menghitung ketersediaan obat terhadap formularium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38.4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melaporkan hasil evaluasi keterseediaan obat terhadap formularium puskesmas kepada PJ UKP, PJ Mutu, dan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5.2pt;margin-top:0.65pt;height:20.6pt;width:0.1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43" o:spid="_x0000_s1043" o:spt="120" type="#_x0000_t120" style="position:absolute;left:0pt;margin-left:23.35pt;margin-top:13.55pt;height:42.25pt;width:318.7pt;z-index:251665408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133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Menetapkan rencana tindak lanjut bersama PJ UKP, PJ Mutu, dan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Evaluasi Ketersediaan obat terhadap Formularium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6223"/>
    <w:multiLevelType w:val="multilevel"/>
    <w:tmpl w:val="BAE46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AFE551C"/>
    <w:multiLevelType w:val="singleLevel"/>
    <w:tmpl w:val="4AFE551C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7EF797C"/>
    <w:rsid w:val="1CD7316F"/>
    <w:rsid w:val="26F68C6E"/>
    <w:rsid w:val="29FFFE40"/>
    <w:rsid w:val="2DFC72B6"/>
    <w:rsid w:val="35BB67B7"/>
    <w:rsid w:val="35FFA0DC"/>
    <w:rsid w:val="377D0950"/>
    <w:rsid w:val="3B6E779B"/>
    <w:rsid w:val="3BBFA509"/>
    <w:rsid w:val="3CAF2B21"/>
    <w:rsid w:val="3FB38FFD"/>
    <w:rsid w:val="3FCD9892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7B1750"/>
    <w:rsid w:val="76EE773E"/>
    <w:rsid w:val="77E5B8E2"/>
    <w:rsid w:val="77FC2163"/>
    <w:rsid w:val="7AF7B001"/>
    <w:rsid w:val="7AFE3EA2"/>
    <w:rsid w:val="7BB9D9F4"/>
    <w:rsid w:val="7BE7FDD1"/>
    <w:rsid w:val="7D1F9B79"/>
    <w:rsid w:val="7D7DE2E7"/>
    <w:rsid w:val="7DFB9947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9F5B399"/>
    <w:rsid w:val="BA5CD1FA"/>
    <w:rsid w:val="BBE7D31B"/>
    <w:rsid w:val="BDFD7DDD"/>
    <w:rsid w:val="BEFFB0B0"/>
    <w:rsid w:val="C6EBD1D2"/>
    <w:rsid w:val="D4B7E37D"/>
    <w:rsid w:val="D5D9C270"/>
    <w:rsid w:val="D77E3C8A"/>
    <w:rsid w:val="D7950FA6"/>
    <w:rsid w:val="DDBF6A0C"/>
    <w:rsid w:val="DEFF6B98"/>
    <w:rsid w:val="DFF759DE"/>
    <w:rsid w:val="E6BDDE12"/>
    <w:rsid w:val="EEFAD772"/>
    <w:rsid w:val="EFFFCA8B"/>
    <w:rsid w:val="F7F650F5"/>
    <w:rsid w:val="FBE76D89"/>
    <w:rsid w:val="FBE7A34A"/>
    <w:rsid w:val="FEFB8EDD"/>
    <w:rsid w:val="FFB36F79"/>
    <w:rsid w:val="FFBF7DA7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7"/>
    <customShpInfo spid="_x0000_s1036"/>
    <customShpInfo spid="_x0000_s1041"/>
    <customShpInfo spid="_x0000_s1039"/>
    <customShpInfo spid="_x0000_s1047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1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2024-01-30T22:41:00Z</dcterms:created>
  <dc:creator>Microsoft Office User</dc:creator>
  <cp:lastModifiedBy>apotek</cp:lastModifiedBy>
  <dcterms:modified xsi:type="dcterms:W3CDTF">2024-05-19T22:22:49Z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