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QualiPharm GmbH — Site B (EU Operations)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STANDARD OPERATING PROCEDURE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EU GMP Complaint Handling — European Distribution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SOP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SOP-EU-GMP-001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01, 2024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01,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— Site B (EudraLex Volume 4, ICH Q10)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Quality Operations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Qualified Person (QP)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Current Version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References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EudraLex Volume 4 Chapter 8, Annex 11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SOP defines the EU-specific requirements for the receipt, documentation, classification, investigation, and reporting of quality complaints for pharmaceutical products distributed from QualiPharm Site B within the European Economic Area (EEA). This procedure implements the requirements of EudraLex Volume 4 Good Manufacturing Practice (GMP) Guidelines, Chapter 8 — Complaints, Quality Defects and Product Recalls, with reference to Annex 11 (Computerised Systems) for electronic complaint management.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medicinal products held in the Marketing Authorisation (MA) portfolio of QualiPharm GmbH distributed within the EU/EEA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Complaints received from patients, healthcare professionals, national competent authorities, wholesalers, and parallel importers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Quality defects and potential quality defects identified post-release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staff at Site B handling complaints: QA, Regulatory Affairs, Customer Service, Qualified Person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EU Regulatory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Regulation / Guideline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EudraLex Volume 4 Chapter 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Complaints, quality defects, and product recalls. Written procedures for complaint management required.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EudraLex Volume 4 Annex 11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Computerised systems — electronic complaint records must meet data integrity requirements (ALCOA+).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Directive 2001/83/EC Article 117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authorisation holders must maintain a system for defect reporting and recall.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Q10 Section 3.2.3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Pharmaceutical Quality System requirement for complaint and adverse event management.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 Q9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Risk-based approach to complaint classification. Risk assessment must be documented.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Regulation (EC) No 726/2004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rapid alert system — serious quality defects must be reported to EMA and national competent authorities.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Complaint Receipt and Intake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complaints must be received and recorded in the QualiTrace electronic complaint management system within 24 hours. The following fields are mandatory per EU GMP Chapter 8 requirements: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product_name — full INN name, strength, and dosage form as per 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batch_number — EU batch number from label (must match MA batch records). If unavailable, set status = pending_review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market_code — EU country code where product was dispensed/used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complaint_type — classify as contamination, quality, or labeling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patient_impact — true if adverse event reported or suspected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description — verbatim complaint text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EU Rapid Alert Obligation (Chapter 8.17):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Complaints that may constitute a serious defect — defined as any defect that could result in a recall, or that requires notification to competent authorities — must be reported to the EU rapid alert system within 24 hours of the defect being identified. This applies to all critical complaints.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4.1 EU-Specific Classification Rules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addition to the global classification rules in SOP-QA-001, the following EU-specific rules apply: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MULTILINGUAL LABELING: Missing or incorrect language on label constitutes a medium risk labeling complaint minimum. If language omission could lead to incorrect use by patient, escalate to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QP NOTIFICATION: The EU Qualified Person (QP) must be notified of all critical and high risk complaints within 4 hours of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 NUMBER VERIFICATION: Confirm the batch_number matches a batch certified by the QP under the EU Marketing Authorisation. Batches not matching MA records must be escalated to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PARALLEL IMPORT CHECKS: For complaints on parallel-imported products, determine if defect originated at EU Site B or at the source market. Document jurisdiction determination in investigation record.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4.2 Investigation Requirements — EU Chapter 8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EudraLex Volume 4 Chapter 8, investigations must: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Assess whether the quality defect is linked to a specific batch or batches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Retrieve retained samples from the EU retention sample program (minimum 2x full analysis quantity retained per EU GMP)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batch manufacturing and control records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Consider whether other batches or other products could be affected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Review post-market stability data where relevant (Annex 11 data integrity requirements apply)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Determine root cause using documented risk assessment methodology (ICH Q9 compliant)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Assess need for notification to national competent authorities and EMA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Investigation output must document: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evidence_summary — summary of all evidence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root_cause_hypotheses — minimum 3 hypotheses ranked by probability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overall_confidence — confidence score 0.0 to 1.0 for primary hypothesis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source_list — list of EU regulatory documents and SOPs referenced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regulatory_reporting_required — boolean, with justification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CAPA Requirements — EU GMP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ICH Q10 and EudraLex Volume 4, CAPA actions for EU complaints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Address both the immediate defect (corrective action) and the systemic root cause (preventive 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Reference the specific EudraLex chapter or ICH guideline that drives each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Include effectiveness criteria that can be measured and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 completed within timeframes aligned with risk_level: critical = 15 days, high = 30 days, medium = 60 days, low =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 reviewed and approved by the EU Qualified Person for critical and high risk cases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Record Retention — EU Requirements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EudraLex Volume 4 Chapter 8, complaint records must be retained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Minimum 1 year beyond the expiry date of the batch concerned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Minimum 5 years from the date of batch certification by the QP (whichever is longer)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Electronic records must comply with Annex 11 data integrity (ALCOA+): Attributable, Legible, Contemporaneous, Original, Accurate, plus Complete, Consistent, Enduring, Available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QA / QP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parallel import classification rule. Updated Annex 11 data integrity references.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 2023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QA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revision to align with revised EudraLex Volume 4 Chapter 8 (2022 update).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QA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ICH Q10 CAPA effectiveness criteria requirements.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2026-06-27T03:02:10.310Z</dcterms:created>
  <dcterms:modified xsi:type="dcterms:W3CDTF">2026-06-27T03:02:10.310Z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