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Analisis Kesesuaian Project Payment Sandbox</w:t>
      </w:r>
    </w:p>
    <w:p>
      <w:pPr>
        <w:jc w:val="center"/>
      </w:pPr>
      <w:r>
        <w:rPr>
          <w:color w:val="707070"/>
          <w:sz w:val="24"/>
        </w:rPr>
        <w:t>Terhadap Soal Technical Assessment Backend Engineer</w:t>
      </w:r>
    </w:p>
    <w:p/>
    <w:p>
      <w:pPr>
        <w:spacing w:before="240" w:after="80"/>
      </w:pPr>
      <w:r>
        <w:rPr>
          <w:b/>
          <w:color w:val="1F497D"/>
          <w:sz w:val="32"/>
        </w:rPr>
        <w:t>1. Pemilihan Tech Stack</w:t>
      </w:r>
    </w:p>
    <w:p>
      <w:pPr>
        <w:spacing w:before="240" w:after="80"/>
      </w:pPr>
      <w:r>
        <w:rPr>
          <w:b/>
          <w:color w:val="2E74B5"/>
          <w:sz w:val="26"/>
        </w:rPr>
        <w:t>1.1 Go (Golang)</w:t>
      </w:r>
    </w:p>
    <w:p>
      <w:pPr>
        <w:spacing w:after="40"/>
      </w:pPr>
      <w:r>
        <w:rPr>
          <w:b w:val="0"/>
          <w:sz w:val="21"/>
        </w:rPr>
        <w:t>Soal mewajibkan backend Golang (FR 3.0). Go dipilih karena:</w:t>
      </w:r>
    </w:p>
    <w:p>
      <w:pPr>
        <w:pStyle w:val="ListBullet"/>
        <w:spacing w:after="20"/>
      </w:pPr>
      <w:r>
        <w:rPr>
          <w:b/>
          <w:sz w:val="21"/>
        </w:rPr>
        <w:t xml:space="preserve">Performa: </w:t>
      </w:r>
      <w:r>
        <w:rPr>
          <w:sz w:val="21"/>
        </w:rPr>
        <w:t>Performa tinggi secara native — mendekati target response ≤ 300ms (NFR 4.1) tanpa tuning ekstra.</w:t>
      </w:r>
    </w:p>
    <w:p>
      <w:pPr>
        <w:pStyle w:val="ListBullet"/>
        <w:spacing w:after="20"/>
      </w:pPr>
      <w:r>
        <w:rPr>
          <w:b/>
          <w:sz w:val="21"/>
        </w:rPr>
        <w:t xml:space="preserve">Concurrency: </w:t>
      </w:r>
      <w:r>
        <w:rPr>
          <w:sz w:val="21"/>
        </w:rPr>
        <w:t>Goroutine digunakan untuk background expiry sweeper yang berjalan periodik tanpa blocking HTTP server.</w:t>
      </w:r>
    </w:p>
    <w:p>
      <w:pPr>
        <w:pStyle w:val="ListBullet"/>
        <w:spacing w:after="20"/>
      </w:pPr>
      <w:r>
        <w:rPr>
          <w:b/>
          <w:sz w:val="21"/>
        </w:rPr>
        <w:t xml:space="preserve">Type Safety: </w:t>
      </w:r>
      <w:r>
        <w:rPr>
          <w:sz w:val="21"/>
        </w:rPr>
        <w:t>Type system yang ketat meminimalkan bug pada domain pembayaran di mana presisi angka sangat krusial.</w:t>
      </w:r>
    </w:p>
    <w:p>
      <w:pPr>
        <w:pStyle w:val="ListBullet"/>
        <w:spacing w:after="20"/>
      </w:pPr>
      <w:r>
        <w:rPr>
          <w:b/>
          <w:sz w:val="21"/>
        </w:rPr>
        <w:t xml:space="preserve">Money Precision: </w:t>
      </w:r>
      <w:r>
        <w:rPr>
          <w:sz w:val="21"/>
        </w:rPr>
        <w:t>Balance wallet disimpan sebagai int64 (satuan terkecil mata uang), menghindari floating-point rounding.</w:t>
      </w:r>
    </w:p>
    <w:p>
      <w:pPr>
        <w:spacing w:before="240" w:after="80"/>
      </w:pPr>
      <w:r>
        <w:rPr>
          <w:b/>
          <w:color w:val="2E74B5"/>
          <w:sz w:val="26"/>
        </w:rPr>
        <w:t>1.2 PostgreSQL via jackc/pgx</w:t>
      </w:r>
    </w:p>
    <w:p>
      <w:pPr>
        <w:spacing w:after="40"/>
      </w:pPr>
      <w:r>
        <w:rPr>
          <w:b w:val="0"/>
          <w:sz w:val="21"/>
        </w:rPr>
        <w:t>Soal mensyaratkan operasi atomic untuk payment, refund, dan top-up (FR 3.4). PostgreSQL adalah pilihan yang tepat karena:</w:t>
      </w:r>
    </w:p>
    <w:p>
      <w:pPr>
        <w:pStyle w:val="ListBullet"/>
        <w:spacing w:after="20"/>
      </w:pPr>
      <w:r>
        <w:rPr>
          <w:b/>
          <w:sz w:val="21"/>
        </w:rPr>
        <w:t xml:space="preserve">ACID Penuh: </w:t>
      </w:r>
      <w:r>
        <w:rPr>
          <w:sz w:val="21"/>
        </w:rPr>
        <w:t>Satu-satunya RDBMS yang menjamin ACID penuh untuk semua transaksi keuangan.</w:t>
      </w:r>
    </w:p>
    <w:p>
      <w:pPr>
        <w:pStyle w:val="ListBullet"/>
        <w:spacing w:after="20"/>
      </w:pPr>
      <w:r>
        <w:rPr>
          <w:b/>
          <w:sz w:val="21"/>
        </w:rPr>
        <w:t xml:space="preserve">Driver pgx: </w:t>
      </w:r>
      <w:r>
        <w:rPr>
          <w:sz w:val="21"/>
        </w:rPr>
        <w:t>Lebih cepat dan type-safe dibanding driver lib/pq yang umum digunakan.</w:t>
      </w:r>
    </w:p>
    <w:p>
      <w:pPr>
        <w:pStyle w:val="ListBullet"/>
        <w:spacing w:after="20"/>
      </w:pPr>
      <w:r>
        <w:rPr>
          <w:b/>
          <w:sz w:val="21"/>
        </w:rPr>
        <w:t xml:space="preserve">Advanced SQL: </w:t>
      </w:r>
      <w:r>
        <w:rPr>
          <w:sz w:val="21"/>
        </w:rPr>
        <w:t>Fitur FILTER (WHERE ...) dalam aggregate query dimanfaatkan untuk dashboard admin dalam satu query.</w:t>
      </w:r>
    </w:p>
    <w:p>
      <w:pPr>
        <w:spacing w:before="240" w:after="80"/>
      </w:pPr>
      <w:r>
        <w:rPr>
          <w:b/>
          <w:color w:val="2E74B5"/>
          <w:sz w:val="26"/>
        </w:rPr>
        <w:t>1.3 Gin HTTP Framework</w:t>
      </w:r>
    </w:p>
    <w:p>
      <w:pPr>
        <w:spacing w:after="40"/>
      </w:pPr>
      <w:r>
        <w:rPr>
          <w:b w:val="0"/>
          <w:sz w:val="21"/>
        </w:rPr>
        <w:t>Framework HTTP minimal dengan performa tinggi. Dipilih karena:</w:t>
      </w:r>
    </w:p>
    <w:p>
      <w:pPr>
        <w:pStyle w:val="ListBullet"/>
        <w:spacing w:after="20"/>
      </w:pPr>
      <w:r>
        <w:rPr>
          <w:sz w:val="21"/>
        </w:rPr>
        <w:t>Overhead rendah, mendukung target NFR 4.1 tanpa konfigurasi khusus.</w:t>
      </w:r>
    </w:p>
    <w:p>
      <w:pPr>
        <w:pStyle w:val="ListBullet"/>
        <w:spacing w:after="20"/>
      </w:pPr>
      <w:r>
        <w:rPr>
          <w:sz w:val="21"/>
        </w:rPr>
        <w:t>Middleware chain yang bersih untuk implementasi auth, logging, dan error handling terpusat.</w:t>
      </w:r>
    </w:p>
    <w:p>
      <w:pPr>
        <w:pStyle w:val="ListBullet"/>
        <w:spacing w:after="20"/>
      </w:pPr>
      <w:r>
        <w:rPr>
          <w:sz w:val="21"/>
        </w:rPr>
        <w:t>Binding &amp; validation request JSON built-in via struct tags (binding:"required,email,...").</w:t>
      </w:r>
    </w:p>
    <w:p>
      <w:pPr>
        <w:spacing w:before="240" w:after="80"/>
      </w:pPr>
      <w:r>
        <w:rPr>
          <w:b/>
          <w:color w:val="2E74B5"/>
          <w:sz w:val="26"/>
        </w:rPr>
        <w:t>1.4 golang-jwt + bcrypt</w:t>
      </w:r>
    </w:p>
    <w:p>
      <w:pPr>
        <w:spacing w:after="40"/>
      </w:pPr>
      <w:r>
        <w:rPr>
          <w:b w:val="0"/>
          <w:sz w:val="21"/>
        </w:rPr>
        <w:t>Menjawab langsung FR 3.1 dan SR 3.3:</w:t>
      </w:r>
    </w:p>
    <w:p>
      <w:pPr>
        <w:pStyle w:val="ListBullet"/>
        <w:spacing w:after="20"/>
      </w:pPr>
      <w:r>
        <w:rPr>
          <w:sz w:val="21"/>
        </w:rPr>
        <w:t>Password di-hash dengan bcrypt menggunakan configurable cost — aman dan sesuai standar industri.</w:t>
      </w:r>
    </w:p>
    <w:p>
      <w:pPr>
        <w:pStyle w:val="ListBullet"/>
        <w:spacing w:after="20"/>
      </w:pPr>
      <w:r>
        <w:rPr>
          <w:sz w:val="21"/>
        </w:rPr>
        <w:t>JWT access token dengan expiry wajib, dilengkapi refresh token rotation.</w:t>
      </w:r>
    </w:p>
    <w:p>
      <w:pPr>
        <w:pStyle w:val="ListBullet"/>
        <w:spacing w:after="20"/>
      </w:pPr>
      <w:r>
        <w:rPr>
          <w:sz w:val="21"/>
        </w:rPr>
        <w:t>Refresh token disimpan sebagai SHA-256 hash — plaintext hanya dikirim sekali ke user.</w:t>
      </w:r>
    </w:p>
    <w:p>
      <w:pPr>
        <w:spacing w:before="240" w:after="80"/>
      </w:pPr>
      <w:r>
        <w:rPr>
          <w:b/>
          <w:color w:val="2E74B5"/>
          <w:sz w:val="26"/>
        </w:rPr>
        <w:t>1.5 Swagger (swaggo)</w:t>
      </w:r>
    </w:p>
    <w:p>
      <w:pPr>
        <w:spacing w:after="40"/>
      </w:pPr>
      <w:r>
        <w:rPr>
          <w:b w:val="0"/>
          <w:sz w:val="21"/>
        </w:rPr>
        <w:t>Menjawab FR 3.2 dan NFR 4.4 secara eksplisit. Dokumentasi API terintegrasi langsung di codebase melalui anotasi kode pada setiap handler, sehingga selalu sinkron dengan implementasi.</w:t>
      </w:r>
    </w:p>
    <w:p>
      <w:pPr>
        <w:spacing w:before="240" w:after="80"/>
      </w:pPr>
      <w:r>
        <w:rPr>
          <w:b/>
          <w:color w:val="1F497D"/>
          <w:sz w:val="32"/>
        </w:rPr>
        <w:t>2. Arsitektur</w:t>
      </w:r>
    </w:p>
    <w:p>
      <w:pPr>
        <w:spacing w:after="40"/>
      </w:pPr>
      <w:r>
        <w:rPr>
          <w:b w:val="0"/>
          <w:sz w:val="21"/>
        </w:rPr>
        <w:t>Soal menyebut secara eksplisit "Clean architecture, layer jelas: handler → service → repository" (FR 4.3). Project mengimplementasinya secara literal: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E1E1E"/>
          <w:sz w:val="18"/>
        </w:rPr>
        <w:t>cmd/api/main.go          ← Wiring / Dependency Injection manual</w:t>
        <w:br/>
        <w:t>internal/</w:t>
        <w:br/>
        <w:t xml:space="preserve">  handler/               ← HTTP layer (Gin), parsing request &amp; response</w:t>
        <w:br/>
        <w:t xml:space="preserve">  service/               ← Business logic, tidak tahu HTTP atau SQL</w:t>
        <w:br/>
        <w:t xml:space="preserve">  repository/            ← Persistence layer, hanya bicara dengan DB</w:t>
        <w:br/>
        <w:t xml:space="preserve">  model/                 ← Entity structs + request/response types</w:t>
        <w:br/>
        <w:t xml:space="preserve">  constant/              ← Domain type declarations &amp; konstanta</w:t>
        <w:br/>
        <w:t xml:space="preserve">  middleware/            ← Cross-cutting: auth, error handler, logging</w:t>
        <w:br/>
        <w:t xml:space="preserve">  pkg/                   ← Utilities murni: jwt, hash, token, apperror</w:t>
      </w:r>
    </w:p>
    <w:p>
      <w:pPr>
        <w:spacing w:before="240" w:after="80"/>
      </w:pPr>
      <w:r>
        <w:rPr>
          <w:b/>
          <w:color w:val="2E74B5"/>
          <w:sz w:val="26"/>
        </w:rPr>
        <w:t>2.1 Dependency Rules</w:t>
      </w:r>
    </w:p>
    <w:p>
      <w:pPr>
        <w:spacing w:after="40"/>
      </w:pPr>
      <w:r>
        <w:rPr>
          <w:b w:val="0"/>
          <w:sz w:val="21"/>
        </w:rPr>
        <w:t>Dependency selalu mengalir ke dalam:</w:t>
      </w:r>
    </w:p>
    <w:p>
      <w:pPr>
        <w:pStyle w:val="ListBullet"/>
        <w:spacing w:after="20"/>
      </w:pPr>
      <w:r>
        <w:rPr>
          <w:sz w:val="21"/>
        </w:rPr>
        <w:t>Handler bergantung pada service interface — bukan implementasi konkret.</w:t>
      </w:r>
    </w:p>
    <w:p>
      <w:pPr>
        <w:pStyle w:val="ListBullet"/>
        <w:spacing w:after="20"/>
      </w:pPr>
      <w:r>
        <w:rPr>
          <w:sz w:val="21"/>
        </w:rPr>
        <w:t>Service bergantung pada repository interface — bukan driver DB.</w:t>
      </w:r>
    </w:p>
    <w:p>
      <w:pPr>
        <w:pStyle w:val="ListBullet"/>
        <w:spacing w:after="20"/>
      </w:pPr>
      <w:r>
        <w:rPr>
          <w:sz w:val="21"/>
        </w:rPr>
        <w:t>Tidak ada satu pun import yang menembus layer ke atas.</w:t>
      </w:r>
    </w:p>
    <w:p>
      <w:pPr>
        <w:spacing w:after="40"/>
      </w:pPr>
      <w:r>
        <w:rPr>
          <w:b w:val="0"/>
          <w:sz w:val="21"/>
        </w:rPr>
        <w:t>Konsekuensinya: unit test bisa ditulis dengan pure in-memory mock tanpa memerlukan database sama sekali, sebagaimana terlihat pada auth_service_test.go dan refund_service_test.go.</w:t>
      </w:r>
    </w:p>
    <w:p>
      <w:pPr>
        <w:spacing w:before="240" w:after="80"/>
      </w:pPr>
      <w:r>
        <w:rPr>
          <w:b/>
          <w:color w:val="2E74B5"/>
          <w:sz w:val="26"/>
        </w:rPr>
        <w:t>2.2 Dependency Injection Manual</w:t>
      </w:r>
    </w:p>
    <w:p>
      <w:pPr>
        <w:spacing w:after="40"/>
      </w:pPr>
      <w:r>
        <w:rPr>
          <w:b w:val="0"/>
          <w:sz w:val="21"/>
        </w:rPr>
        <w:t>Semua wiring dilakukan di main.go tanpa framework DI (seperti Wire atau Fx). Ini sederhana, transparan, dan mudah di-review — persis yang diharapkan untuk assessment.</w:t>
      </w:r>
    </w:p>
    <w:p>
      <w:pPr>
        <w:spacing w:before="240" w:after="80"/>
      </w:pPr>
      <w:r>
        <w:rPr>
          <w:b/>
          <w:color w:val="2E74B5"/>
          <w:sz w:val="26"/>
        </w:rPr>
        <w:t>2.3 Pemisahan model dan constant</w:t>
      </w:r>
    </w:p>
    <w:p>
      <w:pPr>
        <w:spacing w:after="40"/>
      </w:pPr>
      <w:r>
        <w:rPr>
          <w:b w:val="0"/>
          <w:sz w:val="21"/>
        </w:rPr>
        <w:t>Package dibagi menjadi dua lapisan:</w:t>
      </w:r>
    </w:p>
    <w:p>
      <w:pPr>
        <w:pStyle w:val="ListBullet"/>
        <w:spacing w:after="20"/>
      </w:pPr>
      <w:r>
        <w:rPr>
          <w:b/>
          <w:sz w:val="21"/>
        </w:rPr>
        <w:t xml:space="preserve">model: </w:t>
      </w:r>
      <w:r>
        <w:rPr>
          <w:sz w:val="21"/>
        </w:rPr>
        <w:t>internal/model/ — semua struct (entity + request/response + mapper functions)</w:t>
      </w:r>
    </w:p>
    <w:p>
      <w:pPr>
        <w:pStyle w:val="ListBullet"/>
        <w:spacing w:after="20"/>
      </w:pPr>
      <w:r>
        <w:rPr>
          <w:b/>
          <w:sz w:val="21"/>
        </w:rPr>
        <w:t xml:space="preserve">constant: </w:t>
      </w:r>
      <w:r>
        <w:rPr>
          <w:sz w:val="21"/>
        </w:rPr>
        <w:t>internal/constant/ — semua type declarations dan const values (InvoiceStatus, PaymentMethod, Role, dll.)</w:t>
      </w:r>
    </w:p>
    <w:p>
      <w:pPr>
        <w:spacing w:after="40"/>
      </w:pPr>
      <w:r>
        <w:rPr>
          <w:b w:val="0"/>
          <w:sz w:val="21"/>
        </w:rPr>
        <w:t>Pemisahan ini memudahkan pencarian dan mencegah import cycle antara layer.</w:t>
      </w:r>
    </w:p>
    <w:p>
      <w:pPr>
        <w:spacing w:before="240" w:after="80"/>
      </w:pPr>
      <w:r>
        <w:rPr>
          <w:b/>
          <w:color w:val="1F497D"/>
          <w:sz w:val="32"/>
        </w:rPr>
        <w:t>3. Logic &amp; Implementasi Functional Requirements</w:t>
      </w:r>
    </w:p>
    <w:p>
      <w:pPr>
        <w:spacing w:before="240" w:after="80"/>
      </w:pPr>
      <w:r>
        <w:rPr>
          <w:b/>
          <w:color w:val="2E74B5"/>
          <w:sz w:val="26"/>
        </w:rPr>
        <w:t>3.1 Authentication &amp; Authorization (FR 2.1, FR 3.1, SR 3.3)</w:t>
      </w:r>
    </w:p>
    <w:p>
      <w:pPr>
        <w:pStyle w:val="ListBullet"/>
        <w:spacing w:after="20"/>
      </w:pPr>
      <w:r>
        <w:rPr>
          <w:b/>
          <w:sz w:val="21"/>
        </w:rPr>
        <w:t xml:space="preserve">Password Hashing: </w:t>
      </w:r>
      <w:r>
        <w:rPr>
          <w:sz w:val="21"/>
        </w:rPr>
        <w:t>Password di-hash dengan bcrypt menggunakan configurable cost.</w:t>
      </w:r>
    </w:p>
    <w:p>
      <w:pPr>
        <w:pStyle w:val="ListBullet"/>
        <w:spacing w:after="20"/>
      </w:pPr>
      <w:r>
        <w:rPr>
          <w:b/>
          <w:sz w:val="21"/>
        </w:rPr>
        <w:t xml:space="preserve">JWT Rotation: </w:t>
      </w:r>
      <w:r>
        <w:rPr>
          <w:sz w:val="21"/>
        </w:rPr>
        <w:t>JWT access token + refresh token rotation: token lama direvoke atomik sebelum token baru diterbitkan, mencegah replay attack.</w:t>
      </w:r>
    </w:p>
    <w:p>
      <w:pPr>
        <w:pStyle w:val="ListBullet"/>
        <w:spacing w:after="20"/>
      </w:pPr>
      <w:r>
        <w:rPr>
          <w:b/>
          <w:sz w:val="21"/>
        </w:rPr>
        <w:t xml:space="preserve">Secure Storage: </w:t>
      </w:r>
      <w:r>
        <w:rPr>
          <w:sz w:val="21"/>
        </w:rPr>
        <w:t>Refresh token disimpan sebagai SHA-256 hash di database — plaintext hanya dikirim sekali saat login.</w:t>
      </w:r>
    </w:p>
    <w:p>
      <w:pPr>
        <w:pStyle w:val="ListBullet"/>
        <w:spacing w:after="20"/>
      </w:pPr>
      <w:r>
        <w:rPr>
          <w:b/>
          <w:sz w:val="21"/>
        </w:rPr>
        <w:t xml:space="preserve">RBAC: </w:t>
      </w:r>
      <w:r>
        <w:rPr>
          <w:sz w:val="21"/>
        </w:rPr>
        <w:t>Middleware RequireRole memvalidasi role setiap request ke endpoint yang dilindungi.</w:t>
      </w:r>
    </w:p>
    <w:p>
      <w:pPr>
        <w:spacing w:before="240" w:after="80"/>
      </w:pPr>
      <w:r>
        <w:rPr>
          <w:b/>
          <w:color w:val="2E74B5"/>
          <w:sz w:val="26"/>
        </w:rPr>
        <w:t>3.2 Wallet &amp; Top-up (FR 2.2)</w:t>
      </w:r>
    </w:p>
    <w:p>
      <w:pPr>
        <w:pStyle w:val="ListBullet"/>
        <w:spacing w:after="20"/>
      </w:pPr>
      <w:r>
        <w:rPr>
          <w:b/>
          <w:sz w:val="21"/>
        </w:rPr>
        <w:t xml:space="preserve">Auto-create: </w:t>
      </w:r>
      <w:r>
        <w:rPr>
          <w:sz w:val="21"/>
        </w:rPr>
        <w:t>Wallet dibuat otomatis dalam transaction yang sama saat register — tidak pernah ada user tanpa wallet.</w:t>
      </w:r>
    </w:p>
    <w:p>
      <w:pPr>
        <w:pStyle w:val="ListBullet"/>
        <w:spacing w:after="20"/>
      </w:pPr>
      <w:r>
        <w:rPr>
          <w:b/>
          <w:sz w:val="21"/>
        </w:rPr>
        <w:t xml:space="preserve">Atomic Balance: </w:t>
      </w:r>
      <w:r>
        <w:rPr>
          <w:sz w:val="21"/>
        </w:rPr>
        <w:t>AddBalance menggunakan optimistic locking (kolom version) dan guard balance + delta &gt;= 0 langsung di SQL — mencegah balance negatif tanpa aplikasi-level lock.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E1E1E"/>
          <w:sz w:val="18"/>
        </w:rPr>
        <w:t>UPDATE wallets</w:t>
        <w:br/>
        <w:t>SET balance = balance + $1, version = version + 1, updated_at = NOW()</w:t>
        <w:br/>
        <w:t>WHERE merchant_id = $2 AND balance + $1 &gt;= 0</w:t>
      </w:r>
    </w:p>
    <w:p>
      <w:pPr>
        <w:spacing w:before="240" w:after="80"/>
      </w:pPr>
      <w:r>
        <w:rPr>
          <w:b/>
          <w:color w:val="2E74B5"/>
          <w:sz w:val="26"/>
        </w:rPr>
        <w:t>3.3 Invoice Management (FR 2.3)</w:t>
      </w:r>
    </w:p>
    <w:p>
      <w:pPr>
        <w:pStyle w:val="ListBullet"/>
        <w:spacing w:after="20"/>
      </w:pPr>
      <w:r>
        <w:rPr>
          <w:b/>
          <w:sz w:val="21"/>
        </w:rPr>
        <w:t xml:space="preserve">Invoice Number: </w:t>
      </w:r>
      <w:r>
        <w:rPr>
          <w:sz w:val="21"/>
        </w:rPr>
        <w:t>Format INV-YYYYMMDD-XXXXXX dengan 6 karakter hex random sebagai suffix — unik dan human-readable.</w:t>
      </w:r>
    </w:p>
    <w:p>
      <w:pPr>
        <w:pStyle w:val="ListBullet"/>
        <w:spacing w:after="20"/>
      </w:pPr>
      <w:r>
        <w:rPr>
          <w:b/>
          <w:sz w:val="21"/>
        </w:rPr>
        <w:t xml:space="preserve">Payment Token: </w:t>
      </w:r>
      <w:r>
        <w:rPr>
          <w:sz w:val="21"/>
        </w:rPr>
        <w:t>32-byte cryptographically random token sebagai payment link token (FR 3.3).</w:t>
      </w:r>
    </w:p>
    <w:p>
      <w:pPr>
        <w:pStyle w:val="ListBullet"/>
        <w:spacing w:after="20"/>
      </w:pPr>
      <w:r>
        <w:rPr>
          <w:b/>
          <w:sz w:val="21"/>
        </w:rPr>
        <w:t xml:space="preserve">Filter &amp; Pagination: </w:t>
      </w:r>
      <w:r>
        <w:rPr>
          <w:sz w:val="21"/>
        </w:rPr>
        <w:t>Filter by status, date range (from/to), pagination tersedia di endpoint list.</w:t>
      </w:r>
    </w:p>
    <w:p>
      <w:pPr>
        <w:spacing w:before="240" w:after="80"/>
      </w:pPr>
      <w:r>
        <w:rPr>
          <w:b/>
          <w:color w:val="2E74B5"/>
          <w:sz w:val="26"/>
        </w:rPr>
        <w:t>3.4 Payment Simulation &amp; State Machine (FR 2.4, FR 3.4)</w:t>
      </w:r>
    </w:p>
    <w:p>
      <w:pPr>
        <w:spacing w:after="40"/>
      </w:pPr>
      <w:r>
        <w:rPr>
          <w:b w:val="0"/>
          <w:sz w:val="21"/>
        </w:rPr>
        <w:t>State machine diimplementasikan dengan CAS (Compare-And-Swap) di level SQL: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E1E1E"/>
          <w:sz w:val="18"/>
        </w:rPr>
        <w:t>UPDATE invoices</w:t>
        <w:br/>
        <w:t>SET status = $1, paid_at = $2, updated_at = NOW()</w:t>
        <w:br/>
        <w:t>WHERE id = $3 AND status = $4  -- CAS: hanya update jika state sesuai</w:t>
      </w:r>
    </w:p>
    <w:p>
      <w:pPr>
        <w:spacing w:after="40"/>
      </w:pPr>
      <w:r>
        <w:rPr>
          <w:b w:val="0"/>
          <w:sz w:val="21"/>
        </w:rPr>
        <w:t>Jika RowsAffected == 0, artinya state sudah berubah oleh proses lain → ErrInvalidState. Ini menjamin tidak ada race condition pada concurrent request.</w:t>
      </w:r>
    </w:p>
    <w:p>
      <w:pPr>
        <w:spacing w:after="40"/>
      </w:pPr>
      <w:r>
        <w:rPr>
          <w:b w:val="0"/>
          <w:sz w:val="21"/>
        </w:rPr>
        <w:t>Saat payment SUCCESS, dalam satu transaction terjadi:</w:t>
      </w:r>
    </w:p>
    <w:p>
      <w:pPr>
        <w:pStyle w:val="ListBullet"/>
        <w:spacing w:after="20"/>
      </w:pPr>
      <w:r>
        <w:rPr>
          <w:sz w:val="21"/>
        </w:rPr>
        <w:t>payment_intent → SUCCESS</w:t>
      </w:r>
    </w:p>
    <w:p>
      <w:pPr>
        <w:pStyle w:val="ListBullet"/>
        <w:spacing w:after="20"/>
      </w:pPr>
      <w:r>
        <w:rPr>
          <w:sz w:val="21"/>
        </w:rPr>
        <w:t>invoice → PAID</w:t>
      </w:r>
    </w:p>
    <w:p>
      <w:pPr>
        <w:pStyle w:val="ListBullet"/>
        <w:spacing w:after="20"/>
      </w:pPr>
      <w:r>
        <w:rPr>
          <w:sz w:val="21"/>
        </w:rPr>
        <w:t>Wallet merchant dikreditkan</w:t>
      </w:r>
    </w:p>
    <w:p>
      <w:pPr>
        <w:pStyle w:val="ListBullet"/>
        <w:spacing w:after="20"/>
      </w:pPr>
      <w:r>
        <w:rPr>
          <w:sz w:val="21"/>
        </w:rPr>
        <w:t>Jika payer WALLET, wallet payer didebitkan</w:t>
      </w:r>
    </w:p>
    <w:p>
      <w:pPr>
        <w:spacing w:after="40"/>
      </w:pPr>
      <w:r>
        <w:rPr>
          <w:b w:val="0"/>
          <w:sz w:val="21"/>
        </w:rPr>
        <w:t>Strategy Pattern digunakan untuk memisahkan side effect per metode pembayaran (walletStrategy vs dummyStrategy) — extensible tanpa mengubah payment_service.go.</w:t>
      </w:r>
    </w:p>
    <w:p>
      <w:pPr>
        <w:spacing w:after="40"/>
      </w:pPr>
      <w:r>
        <w:rPr>
          <w:b w:val="0"/>
          <w:sz w:val="21"/>
        </w:rPr>
        <w:t>Background Expiry Sweeper: goroutine yang berjalan periodik untuk mem-expire invoice PENDING yang melewati due_date, menjawab FR 2.4.</w:t>
      </w:r>
    </w:p>
    <w:p>
      <w:pPr>
        <w:spacing w:before="240" w:after="80"/>
      </w:pPr>
      <w:r>
        <w:rPr>
          <w:b/>
          <w:color w:val="2E74B5"/>
          <w:sz w:val="26"/>
        </w:rPr>
        <w:t>3.5 Refund Simulation (FR 2.5, FR 3.4)</w:t>
      </w:r>
    </w:p>
    <w:p>
      <w:pPr>
        <w:spacing w:after="40"/>
      </w:pPr>
      <w:r>
        <w:rPr>
          <w:b w:val="0"/>
          <w:sz w:val="21"/>
        </w:rPr>
        <w:t>State machine 4-state yang ketat: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E1E1E"/>
          <w:sz w:val="18"/>
        </w:rPr>
        <w:t>REQUESTED → APPROVED → SUCCESS</w:t>
        <w:br/>
        <w:t xml:space="preserve">           → REJECTED  → FAILED</w:t>
      </w:r>
    </w:p>
    <w:p>
      <w:pPr>
        <w:pStyle w:val="ListBullet"/>
        <w:spacing w:after="20"/>
      </w:pPr>
      <w:r>
        <w:rPr>
          <w:b/>
          <w:sz w:val="21"/>
        </w:rPr>
        <w:t xml:space="preserve">Validasi: </w:t>
      </w:r>
      <w:r>
        <w:rPr>
          <w:sz w:val="21"/>
        </w:rPr>
        <w:t>Setiap transisi divalidasi dengan CAS di SQL.</w:t>
      </w:r>
    </w:p>
    <w:p>
      <w:pPr>
        <w:pStyle w:val="ListBullet"/>
        <w:spacing w:after="20"/>
      </w:pPr>
      <w:r>
        <w:rPr>
          <w:b/>
          <w:sz w:val="21"/>
        </w:rPr>
        <w:t xml:space="preserve">Atomicity: </w:t>
      </w:r>
      <w:r>
        <w:rPr>
          <w:sz w:val="21"/>
        </w:rPr>
        <w:t>Saat refund SUCCESS, wallet merchant didebitkan dalam transaction yang sama.</w:t>
      </w:r>
    </w:p>
    <w:p>
      <w:pPr>
        <w:spacing w:before="240" w:after="80"/>
      </w:pPr>
      <w:r>
        <w:rPr>
          <w:b/>
          <w:color w:val="2E74B5"/>
          <w:sz w:val="26"/>
        </w:rPr>
        <w:t>3.6 Admin Dashboard (FR 2.6)</w:t>
      </w:r>
    </w:p>
    <w:p>
      <w:pPr>
        <w:spacing w:after="40"/>
      </w:pPr>
      <w:r>
        <w:rPr>
          <w:b w:val="0"/>
          <w:sz w:val="21"/>
        </w:rPr>
        <w:t>Single SQL query menggunakan COUNT(*) FILTER dan COALESCE(SUM(...)):</w:t>
      </w:r>
    </w:p>
    <w:p>
      <w:pPr>
        <w:spacing w:before="80" w:after="80"/>
        <w:ind w:left="454"/>
        <w:shd w:val="clear" w:color="auto" w:fill="F0F0F0"/>
      </w:pPr>
      <w:r>
        <w:rPr>
          <w:rFonts w:ascii="Courier New" w:hAnsi="Courier New"/>
          <w:color w:val="1E1E1E"/>
          <w:sz w:val="18"/>
        </w:rPr>
        <w:t>SELECT</w:t>
        <w:br/>
        <w:t xml:space="preserve">  COUNT(*),</w:t>
        <w:br/>
        <w:t xml:space="preserve">  COUNT(*) FILTER (WHERE status = 'PAID'),</w:t>
        <w:br/>
        <w:t xml:space="preserve">  COUNT(*) FILTER (WHERE status = 'EXPIRED'),</w:t>
        <w:br/>
        <w:t xml:space="preserve">  COALESCE(SUM(amount) FILTER (WHERE status = 'PAID'), 0)</w:t>
        <w:br/>
        <w:t>FROM invoices WHERE ...</w:t>
      </w:r>
    </w:p>
    <w:p>
      <w:pPr>
        <w:spacing w:after="40"/>
      </w:pPr>
      <w:r>
        <w:rPr>
          <w:b w:val="0"/>
          <w:sz w:val="21"/>
        </w:rPr>
        <w:t>Satu query = satu round-trip ke DB, menghindari N+1, memenuhi NFR 4.1.</w:t>
      </w:r>
    </w:p>
    <w:p>
      <w:pPr>
        <w:spacing w:before="240" w:after="80"/>
      </w:pPr>
      <w:r>
        <w:rPr>
          <w:b/>
          <w:color w:val="1F497D"/>
          <w:sz w:val="32"/>
        </w:rPr>
        <w:t>4. Pemenuhan Non-Functional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7"/>
        <w:gridCol w:w="4537"/>
      </w:tblGrid>
      <w:tr>
        <w:tc>
          <w:tcPr>
            <w:tcW w:type="dxa" w:w="453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NFR</w:t>
            </w:r>
          </w:p>
        </w:tc>
        <w:tc>
          <w:tcPr>
            <w:tcW w:type="dxa" w:w="4537"/>
            <w:shd w:val="clear" w:color="auto" w:fill="2E74B5"/>
          </w:tcPr>
          <w:p>
            <w:r>
              <w:rPr>
                <w:b/>
                <w:color w:val="FFFFFF"/>
                <w:sz w:val="20"/>
              </w:rPr>
              <w:t>Implementasi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Response ≤ 300ms (4.1)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Gin + pgx overhead rendah; query menggunakan index pada id, merchant_id, status; tidak ada N+1 query</w:t>
            </w:r>
          </w:p>
        </w:tc>
      </w:tr>
      <w:tr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No sensitive data leak (4.2)</w:t>
            </w:r>
          </w:p>
        </w:tc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PasswordHash tidak masuk UserResponse; refresh token plaintext hanya dikirim sekali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Structured logging (3.5)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log/slog dengan RequestID middleware — setiap request dapat di-trace unik</w:t>
            </w:r>
          </w:p>
        </w:tc>
      </w:tr>
      <w:tr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Unit test (4.3)</w:t>
            </w:r>
          </w:p>
        </w:tc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auth_service_test.go (15 test) + refund_service_test.go — business logic diuji murni tanpa DB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Swagger API docs (4.4)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Anotasi @Summary, @Param, @Success di setiap handler, dirender di /swagger/*</w:t>
            </w:r>
          </w:p>
        </w:tc>
      </w:tr>
      <w:tr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Pagination (3.2)</w:t>
            </w:r>
          </w:p>
        </w:tc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pagination.FromQuery di semua endpoint list (invoice, topup, refund)</w:t>
            </w:r>
          </w:p>
        </w:tc>
      </w:tr>
      <w:tr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Error handling standar (3.2)</w:t>
            </w:r>
          </w:p>
        </w:tc>
        <w:tc>
          <w:tcPr>
            <w:tcW w:type="dxa" w:w="4537"/>
            <w:shd w:val="clear" w:color="auto" w:fill="FFFFFF"/>
          </w:tcPr>
          <w:p>
            <w:r>
              <w:rPr>
                <w:sz w:val="20"/>
              </w:rPr>
              <w:t>ErrorHandler middleware terpusat: handler cukup c.Error(err), response JSON konsisten</w:t>
            </w:r>
          </w:p>
        </w:tc>
      </w:tr>
      <w:tr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Clean architecture (4.3)</w:t>
            </w:r>
          </w:p>
        </w:tc>
        <w:tc>
          <w:tcPr>
            <w:tcW w:type="dxa" w:w="4537"/>
            <w:shd w:val="clear" w:color="auto" w:fill="EBF3FB"/>
          </w:tcPr>
          <w:p>
            <w:r>
              <w:rPr>
                <w:sz w:val="20"/>
              </w:rPr>
              <w:t>Layer handler → service → repository dengan interface boundaries yang jelas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32"/>
        </w:rPr>
        <w:t>5. Poin Tambahan (Melebihi Syarat Minimal)</w:t>
      </w:r>
    </w:p>
    <w:p>
      <w:pPr>
        <w:pStyle w:val="ListBullet"/>
        <w:spacing w:after="20"/>
      </w:pPr>
      <w:r>
        <w:rPr>
          <w:b/>
          <w:sz w:val="21"/>
        </w:rPr>
        <w:t xml:space="preserve">Refresh Token Rotation: </w:t>
      </w:r>
      <w:r>
        <w:rPr>
          <w:sz w:val="21"/>
        </w:rPr>
        <w:t>Soal menyebut refresh support sebagai opsional, project mengimplementasikan full rotation dengan revoke atomik.</w:t>
      </w:r>
    </w:p>
    <w:p>
      <w:pPr>
        <w:pStyle w:val="ListBullet"/>
        <w:spacing w:after="20"/>
      </w:pPr>
      <w:r>
        <w:rPr>
          <w:b/>
          <w:sz w:val="21"/>
        </w:rPr>
        <w:t xml:space="preserve">Migrate Command: </w:t>
      </w:r>
      <w:r>
        <w:rPr>
          <w:sz w:val="21"/>
        </w:rPr>
        <w:t>Flag migrate pada main.go memungkinkan migrasi schema dijalankan terpisah dari server — penting untuk deployment container.</w:t>
      </w:r>
    </w:p>
    <w:p>
      <w:pPr>
        <w:pStyle w:val="ListBullet"/>
        <w:spacing w:after="20"/>
      </w:pPr>
      <w:r>
        <w:rPr>
          <w:b/>
          <w:sz w:val="21"/>
        </w:rPr>
        <w:t xml:space="preserve">Embedded Migrations: </w:t>
      </w:r>
      <w:r>
        <w:rPr>
          <w:sz w:val="21"/>
        </w:rPr>
        <w:t>SQL migration files di-embed via embed.FS — tidak perlu tools eksternal seperti golang-migrate.</w:t>
      </w:r>
    </w:p>
    <w:p>
      <w:pPr>
        <w:pStyle w:val="ListBullet"/>
        <w:spacing w:after="20"/>
      </w:pPr>
      <w:r>
        <w:rPr>
          <w:b/>
          <w:sz w:val="21"/>
        </w:rPr>
        <w:t xml:space="preserve">Seed Admin: </w:t>
      </w:r>
      <w:r>
        <w:rPr>
          <w:sz w:val="21"/>
        </w:rPr>
        <w:t>SeedAdmin idempotent via environment variable ADMIN_EMAIL/ADMIN_PASSWORD — aman dijalankan berulang kali.</w:t>
      </w:r>
    </w:p>
    <w:p>
      <w:pPr>
        <w:pStyle w:val="ListBullet"/>
        <w:spacing w:after="20"/>
      </w:pPr>
      <w:r>
        <w:rPr>
          <w:b/>
          <w:sz w:val="21"/>
        </w:rPr>
        <w:t xml:space="preserve">Graceful Shutdown: </w:t>
      </w:r>
      <w:r>
        <w:rPr>
          <w:sz w:val="21"/>
        </w:rPr>
        <w:t>Graceful shutdown: server menunggu in-flight request selesai sebelum berhenti.</w:t>
      </w:r>
    </w:p>
    <w:p>
      <w:pPr>
        <w:spacing w:before="240" w:after="80"/>
      </w:pPr>
      <w:r>
        <w:rPr>
          <w:b/>
          <w:color w:val="1F497D"/>
          <w:sz w:val="32"/>
        </w:rPr>
        <w:t>6. Kesimpulan</w:t>
      </w:r>
    </w:p>
    <w:p>
      <w:pPr>
        <w:spacing w:after="40"/>
      </w:pPr>
      <w:r>
        <w:rPr>
          <w:b w:val="0"/>
          <w:sz w:val="21"/>
        </w:rPr>
        <w:t>Project ini menjawab seluruh poin Functional Requirements, Non-Functional Requirements, dan Security Requirements yang tertuang dalam soal — mulai dari authentication, wallet, invoice, payment simulation, refund, hingga admin dashboard. Implementasi tidak over-engineered (DI manual, no ORM, no heavy framework), sehingga mudah di-review dan mencerminkan pemahaman mendalam terhadap trade-off engineering, sesuai spirit dari sebuah technical assessment Backend Engineer.</w:t>
      </w:r>
    </w:p>
    <w:sectPr w:rsidR="00FC693F" w:rsidRPr="0006063C" w:rsidSect="00034616">
      <w:pgSz w:w="11909" w:h="16834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