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w:t>
      </w:r>
      <w:r w:rsidDel="00000000" w:rsidR="00000000" w:rsidRPr="00000000">
        <w:rPr>
          <w:rFonts w:ascii="Arial" w:cs="Arial" w:eastAsia="Arial" w:hAnsi="Arial"/>
          <w:b w:val="1"/>
          <w:sz w:val="32"/>
          <w:szCs w:val="32"/>
          <w:rtl w:val="0"/>
        </w:rPr>
        <w:t xml:space="preserve">TRANSMISSION ATF II</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Automatic Transmission oil</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T</w:t>
      </w:r>
      <w:r w:rsidDel="00000000" w:rsidR="00000000" w:rsidRPr="00000000">
        <w:rPr>
          <w:rFonts w:ascii="Arial" w:cs="Arial" w:eastAsia="Arial" w:hAnsi="Arial"/>
          <w:rtl w:val="0"/>
        </w:rPr>
        <w:t xml:space="preserve">ransmission </w:t>
      </w:r>
      <w:r w:rsidDel="00000000" w:rsidR="00000000" w:rsidRPr="00000000">
        <w:rPr>
          <w:rFonts w:ascii="Arial" w:cs="Arial" w:eastAsia="Arial" w:hAnsi="Arial"/>
          <w:color w:val="000000"/>
          <w:rtl w:val="0"/>
        </w:rPr>
        <w:t xml:space="preserve">ATF II is a high-performance automatic transmission oil engineered for use in vehicles equipped with torque converter and power shift transmissions. It has specially been designed to deliver seamless operation of automatic gearboxes, ensuring minimal wear, prolonged transmission service life, and improved fuel efficiency.</w:t>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Transmission ATF II is designed for the lubrication of automatic transmissions in cars and light trucks, transporters, buses, trucks and other machines where the use of DEXRON II transmission fluid is prescribed. Other uses include manual gearboxes, auxiliary gearboxes and hydraulic systems in automobiles, commercial and off-road vehicles, agricultural and road construction machinery and, in particular, ships.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sectPr>
          <w:headerReference r:id="rId7" w:type="default"/>
          <w:footerReference r:id="rId8" w:type="default"/>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Improved low-temperature fluidity</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Outstanding thermal and oxidation stability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Excellent friction characteristics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Exceptional detergent-dispersant properties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Compatibility with all common seal materials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1F">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0">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100°C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8.000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44.00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156</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230</w:t>
            </w:r>
          </w:p>
        </w:tc>
      </w:tr>
      <w:tr>
        <w:trPr>
          <w:cantSplit w:val="0"/>
          <w:trHeight w:val="39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-40</w:t>
            </w:r>
          </w:p>
        </w:tc>
      </w:tr>
      <w:tr>
        <w:trPr>
          <w:cantSplit w:val="0"/>
          <w:trHeight w:val="397" w:hRule="atLeast"/>
          <w:tblHeader w:val="0"/>
        </w:trPr>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Brookfield Viscosity at minus 40°C</w:t>
            </w:r>
          </w:p>
        </w:tc>
        <w:tc>
          <w:tcPr>
            <w:vAlign w:val="center"/>
          </w:tcPr>
          <w:p w:rsidR="00000000" w:rsidDel="00000000" w:rsidP="00000000" w:rsidRDefault="00000000" w:rsidRPr="00000000" w14:paraId="00000038">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cP</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2983</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43 000</w:t>
            </w:r>
          </w:p>
        </w:tc>
      </w:tr>
      <w:tr>
        <w:trPr>
          <w:cantSplit w:val="0"/>
          <w:trHeight w:val="397" w:hRule="atLeast"/>
          <w:tblHeader w:val="0"/>
        </w:trPr>
        <w:tc>
          <w:tcPr>
            <w:vAlign w:val="center"/>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FZG Test</w:t>
              <w:br w:type="textWrapping"/>
              <w:t xml:space="preserve">-Failure Load Stage</w:t>
            </w:r>
          </w:p>
        </w:tc>
        <w:tc>
          <w:tcPr>
            <w:vAlign w:val="center"/>
          </w:tcPr>
          <w:p w:rsidR="00000000" w:rsidDel="00000000" w:rsidP="00000000" w:rsidRDefault="00000000" w:rsidRPr="00000000" w14:paraId="0000003C">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r>
      <w:tr>
        <w:trPr>
          <w:cantSplit w:val="0"/>
          <w:trHeight w:val="397" w:hRule="atLeast"/>
          <w:tblHeader w:val="0"/>
        </w:trPr>
        <w:tc>
          <w:tcPr>
            <w:vAlign w:val="center"/>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15°C</w:t>
            </w:r>
          </w:p>
        </w:tc>
        <w:tc>
          <w:tcPr>
            <w:vAlign w:val="center"/>
          </w:tcPr>
          <w:p w:rsidR="00000000" w:rsidDel="00000000" w:rsidP="00000000" w:rsidRDefault="00000000" w:rsidRPr="00000000" w14:paraId="0000004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vAlign w:val="center"/>
          </w:tcPr>
          <w:p w:rsidR="00000000" w:rsidDel="00000000" w:rsidP="00000000" w:rsidRDefault="00000000" w:rsidRPr="00000000" w14:paraId="0000004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0.839</w:t>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C4</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Allison TES 389</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highlight w:val="yellow"/>
          <w:vertAlign w:val="baseline"/>
        </w:rPr>
      </w:pP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Caterpillar TO-2</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D</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II E</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 Dexron TASA (Typ A/Suffix A)</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Voith H55. 6335.XX (G 607)</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L1</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L2</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Z1</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339 Typ. V1</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MB-236.1</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CE97340</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Volvo CE97341</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03D</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05L</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21L</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09</w:t>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11A</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11B</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04D</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14A</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ZF TE-ML 17C</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color w:val="ff99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color w:val="ff9900"/>
          <w:rtl w:val="0"/>
        </w:rPr>
        <w:t xml:space="preserve">Ford Pre 2005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9">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type w:val="continuous"/>
          <w:pgSz w:h="15840" w:w="12240" w:orient="portrait"/>
          <w:pgMar w:bottom="1418" w:top="1440" w:left="1440" w:right="1440" w:header="708" w:footer="44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6"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19" name="image3.png"/>
          <a:graphic>
            <a:graphicData uri="http://schemas.openxmlformats.org/drawingml/2006/picture">
              <pic:pic>
                <pic:nvPicPr>
                  <pic:cNvPr descr="Open envelope" id="0" name="image3.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AL/TF-P-0004/01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hyperlink" Target="http://www.aminol.az"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OiUy16f3iQD/qYUzuIhK4L52Sg==">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2023-08-31T07:15:00Z</dcterms:created>
  <dc:creator>Gismat Abbasov</dc:creator>
</cp:coreProperties>
</file>