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ATF DX-II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ATF DX-II is a high-performance automatic transmission oil engineered for use in vehicles equipped with torque converter and power shift transmissions. It has specially been designed to deliver seamless operation of automatic gearboxes, ensuring minimal wear, prolonged transmission service life, and improved fuel efficiency.</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Transmission ATF II is designed for the lubrication of automatic transmissions in cars and light trucks, transporters, buses, trucks and other machines where the use of DEXRON II transmission fluid is prescribed. Other uses include manual gearboxes, auxiliary gearboxes and hydraulic systems in automobiles, commercial and off-road vehicles, agricultural and road construction machinery and, in particular, ships.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Improved low-temperature fluidity</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thermal and oxidation stability</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friction characteristics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detergent-dispersant properties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sectPr>
          <w:type w:val="continuous"/>
          <w:pgSz w:h="15840" w:w="12240" w:orient="portrait"/>
          <w:pgMar w:bottom="1418" w:top="1440" w:left="1440" w:right="1440" w:header="708" w:footer="441"/>
        </w:sect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Compatibility with all common seal materials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44.65</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146</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-40</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0.864</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3E">
      <w:pPr>
        <w:shd w:fill="ffffff" w:val="clear"/>
        <w:spacing w:after="0" w:line="48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C4</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TES 389</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Caterpillar TO-2</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 D</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 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TASA (Typ A/Suffix A)</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Voith H55. 6335.XX (G 607)</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L1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L2</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Z1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V1</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MB-236.1</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CE97340</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CE97341</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03D</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05L</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21L</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09</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11A</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11B</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04D</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14A</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17C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3">
      <w:pPr>
        <w:shd w:fill="ffffff" w:val="clear"/>
        <w:spacing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4">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5">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6">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7">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9">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A">
      <w:pPr>
        <w:numPr>
          <w:ilvl w:val="0"/>
          <w:numId w:val="1"/>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B">
      <w:pPr>
        <w:shd w:fill="ffffff" w:val="clear"/>
        <w:spacing w:after="0" w:line="240" w:lineRule="auto"/>
        <w:rPr>
          <w:rFonts w:ascii="Arial" w:cs="Arial" w:eastAsia="Arial" w:hAnsi="Arial"/>
          <w:b w:val="1"/>
          <w:color w:val="c00000"/>
          <w:sz w:val="8"/>
          <w:szCs w:val="8"/>
        </w:rPr>
      </w:pPr>
      <w:r w:rsidDel="00000000" w:rsidR="00000000" w:rsidRPr="00000000">
        <w:rPr>
          <w:rtl w:val="0"/>
        </w:rPr>
      </w:r>
    </w:p>
    <w:p w:rsidR="00000000" w:rsidDel="00000000" w:rsidP="00000000" w:rsidRDefault="00000000" w:rsidRPr="00000000" w14:paraId="0000006C">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AL/TF-P-0004/02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aminol.az"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9rj/a9d6BM6fUZibfcnu6Mao8g==">CgMxLjAyCGguZ2pkZ3hzOAByITFrcDlwVXMyUGRuTVFSUld1YVFjN0ViSUt0cm54bTFpSg==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2023-08-31T07:16:00Z</dcterms:created>
  <dc:creator>Gismat Abbasov</dc:creator>
</cp:coreProperties>
</file>