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shd w:fill="ffffff" w:val="clear"/>
        <w:spacing w:after="0" w:line="276" w:lineRule="auto"/>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sz w:val="32"/>
          <w:szCs w:val="32"/>
          <w:rtl w:val="0"/>
        </w:rPr>
        <w:t xml:space="preserve">Aminol™  Transmission Fluid ATF III</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Automatic Transmission oil</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u w:val="none"/>
          <w:shd w:fill="auto" w:val="clear"/>
          <w:vertAlign w:val="baseline"/>
        </w:rPr>
      </w:pPr>
      <w:r w:rsidDel="00000000" w:rsidR="00000000" w:rsidRPr="00000000">
        <w:rPr>
          <w:rFonts w:ascii="Arial" w:cs="Arial" w:eastAsia="Arial" w:hAnsi="Arial"/>
          <w:b w:val="1"/>
          <w:i w:val="0"/>
          <w:smallCaps w:val="0"/>
          <w:strike w:val="0"/>
          <w:color w:val="c00000"/>
          <w:u w:val="none"/>
          <w:shd w:fill="auto" w:val="clear"/>
          <w:vertAlign w:val="baseline"/>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b w:val="1"/>
          <w:color w:val="c00000"/>
        </w:rPr>
      </w:pPr>
      <w:r w:rsidDel="00000000" w:rsidR="00000000" w:rsidRPr="00000000">
        <w:rPr>
          <w:rFonts w:ascii="Arial" w:cs="Arial" w:eastAsia="Arial" w:hAnsi="Arial"/>
          <w:rtl w:val="0"/>
        </w:rPr>
        <w:t xml:space="preserve">Aminol Transmission Fluid ATF III </w:t>
      </w:r>
      <w:r w:rsidDel="00000000" w:rsidR="00000000" w:rsidRPr="00000000">
        <w:rPr>
          <w:rFonts w:ascii="Arial" w:cs="Arial" w:eastAsia="Arial" w:hAnsi="Arial"/>
          <w:color w:val="000000"/>
          <w:rtl w:val="0"/>
        </w:rPr>
        <w:t xml:space="preserve">is </w:t>
      </w:r>
      <w:r w:rsidDel="00000000" w:rsidR="00000000" w:rsidRPr="00000000">
        <w:rPr>
          <w:rFonts w:ascii="Arial" w:cs="Arial" w:eastAsia="Arial" w:hAnsi="Arial"/>
          <w:rtl w:val="0"/>
        </w:rPr>
        <w:t xml:space="preserve">an established</w:t>
      </w:r>
      <w:r w:rsidDel="00000000" w:rsidR="00000000" w:rsidRPr="00000000">
        <w:rPr>
          <w:rFonts w:ascii="Arial" w:cs="Arial" w:eastAsia="Arial" w:hAnsi="Arial"/>
          <w:color w:val="000000"/>
          <w:rtl w:val="0"/>
        </w:rPr>
        <w:t xml:space="preserve"> high-performance lubricant designed for use in automatic gearboxes and hydraulic clutches that demand a Dexron III type automatic transmission fluid. It ensures flawless operation of fluid transmissions, even in challenging conditions and wide temperature variations, providing reliability and consistency.</w:t>
      </w:r>
      <w:r w:rsidDel="00000000" w:rsidR="00000000" w:rsidRPr="00000000">
        <w:rPr>
          <w:rtl w:val="0"/>
        </w:rPr>
      </w:r>
    </w:p>
    <w:p w:rsidR="00000000" w:rsidDel="00000000" w:rsidP="00000000" w:rsidRDefault="00000000" w:rsidRPr="00000000" w14:paraId="0000000A">
      <w:pPr>
        <w:shd w:fill="ffffff" w:val="clear"/>
        <w:spacing w:after="0" w:line="48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color w:val="000000"/>
        </w:rPr>
      </w:pPr>
      <w:r w:rsidDel="00000000" w:rsidR="00000000" w:rsidRPr="00000000">
        <w:rPr>
          <w:rFonts w:ascii="Arial" w:cs="Arial" w:eastAsia="Arial" w:hAnsi="Arial"/>
          <w:rtl w:val="0"/>
        </w:rPr>
        <w:t xml:space="preserve">Aminol Transmission Fluid ATF III is designed for the lubrication of automatic transmissions in cars and light trucks, transporters, buses, trucks and other machines where the use of DEXRON III transmission fluid is prescribed. Other uses include manual gearboxes, auxiliary gearboxes and hydraulic systems in automobiles, commercial and off-road vehicles, agricultural and road construction machinery and, in particular, ships.  </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0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480" w:lineRule="auto"/>
        <w:rPr>
          <w:rFonts w:ascii="Arial" w:cs="Arial" w:eastAsia="Arial" w:hAnsi="Arial"/>
          <w:b w:val="1"/>
          <w:color w:val="c00000"/>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Exceptional thermal and oxidation stability </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High viscosity index</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Outstanding anti-wear properties</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Favorable friction behavior</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Confident corrosion protection</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Superior low temperature pumpability and circulation</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Excellent foam control</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Better seal compatibility</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u w:val="none"/>
          <w:shd w:fill="auto" w:val="clear"/>
          <w:vertAlign w:val="baseline"/>
        </w:rPr>
        <w:sectPr>
          <w:type w:val="continuous"/>
          <w:pgSz w:h="15840" w:w="12240" w:orient="portrait"/>
          <w:pgMar w:bottom="1418" w:top="1440" w:left="1440" w:right="1440" w:header="708" w:footer="441"/>
        </w:sect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shd w:fill="ffffff" w:val="clear"/>
        <w:spacing w:after="0" w:line="36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0">
            <w:pPr>
              <w:spacing w:after="0" w:line="240" w:lineRule="auto"/>
              <w:ind w:left="67"/>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shd w:fill="f2f2f2" w:val="clear"/>
            <w:vAlign w:val="center"/>
          </w:tcPr>
          <w:p w:rsidR="00000000" w:rsidDel="00000000" w:rsidP="00000000" w:rsidRDefault="00000000" w:rsidRPr="00000000" w14:paraId="00000021">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shd w:fill="f2f2f2" w:val="clear"/>
            <w:vAlign w:val="center"/>
          </w:tcPr>
          <w:p w:rsidR="00000000" w:rsidDel="00000000" w:rsidP="00000000" w:rsidRDefault="00000000" w:rsidRPr="00000000" w14:paraId="00000022">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shd w:fill="f2f2f2" w:val="clear"/>
            <w:vAlign w:val="center"/>
          </w:tcPr>
          <w:p w:rsidR="00000000" w:rsidDel="00000000" w:rsidP="00000000" w:rsidRDefault="00000000" w:rsidRPr="00000000" w14:paraId="00000023">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100°C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7.800</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40°C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46.45</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138</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234</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-42</w:t>
            </w:r>
          </w:p>
        </w:tc>
      </w:tr>
      <w:tr>
        <w:trPr>
          <w:cantSplit w:val="0"/>
          <w:trHeight w:val="397" w:hRule="atLeast"/>
          <w:tblHeader w:val="0"/>
        </w:trPr>
        <w:tc>
          <w:tcPr>
            <w:vAlign w:val="center"/>
          </w:tcPr>
          <w:p w:rsidR="00000000" w:rsidDel="00000000" w:rsidP="00000000" w:rsidRDefault="00000000" w:rsidRPr="00000000" w14:paraId="0000003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15°C</w:t>
            </w:r>
          </w:p>
        </w:tc>
        <w:tc>
          <w:tcPr>
            <w:vAlign w:val="center"/>
          </w:tcPr>
          <w:p w:rsidR="00000000" w:rsidDel="00000000" w:rsidP="00000000" w:rsidRDefault="00000000" w:rsidRPr="00000000" w14:paraId="0000003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vAlign w:val="center"/>
          </w:tcPr>
          <w:p w:rsidR="00000000" w:rsidDel="00000000" w:rsidP="00000000" w:rsidRDefault="00000000" w:rsidRPr="00000000" w14:paraId="0000003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0.865</w:t>
            </w:r>
          </w:p>
        </w:tc>
      </w:tr>
    </w:tbl>
    <w:p w:rsidR="00000000" w:rsidDel="00000000" w:rsidP="00000000" w:rsidRDefault="00000000" w:rsidRPr="00000000" w14:paraId="0000003C">
      <w:pPr>
        <w:shd w:fill="ffffff" w:val="clear"/>
        <w:spacing w:after="280" w:before="28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p>
    <w:p w:rsidR="00000000" w:rsidDel="00000000" w:rsidP="00000000" w:rsidRDefault="00000000" w:rsidRPr="00000000" w14:paraId="0000003D">
      <w:pPr>
        <w:shd w:fill="ffffff" w:val="clear"/>
        <w:spacing w:after="0" w:line="480" w:lineRule="auto"/>
        <w:rPr>
          <w:rFonts w:ascii="Arial" w:cs="Arial" w:eastAsia="Arial" w:hAnsi="Arial"/>
          <w:b w:val="1"/>
          <w:color w:val="c00000"/>
        </w:rPr>
        <w:sectPr>
          <w:type w:val="continuous"/>
          <w:pgSz w:h="15840" w:w="12240" w:orient="portrait"/>
          <w:pgMar w:bottom="1418" w:top="1440" w:left="1440" w:right="1440" w:header="708" w:footer="441"/>
        </w:sect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Allison C4</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Allison TES 389</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Caterpillar TO-2</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GM Dexron II D</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GM Dexron II E</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GM Dexron TASA (Typ A/Suffix A)</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Voith H55. 6335.XX (G 607)</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339 Typ. L1</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339 Typ. L2</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339 Typ. Z1</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339 Typ. V1</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MB-236.1</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Volvo CE97340</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Volvo CE97341</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ZF TE-ML 03D</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ZF TE-ML 05L</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ZF TE-ML 21L</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ZF TE-ML 09</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ZF TE-ML 11A</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ZF TE-ML 11B</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ZF TE-ML  04D</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ZF TE-ML 14A</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ZF TE-ML 17C</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13">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1">
      <w:pPr>
        <w:shd w:fill="ffffff" w:val="clear"/>
        <w:spacing w:line="240" w:lineRule="auto"/>
        <w:rPr>
          <w:rFonts w:ascii="Arial" w:cs="Arial" w:eastAsia="Arial" w:hAnsi="Arial"/>
          <w:b w:val="1"/>
          <w:color w:val="c00000"/>
        </w:rPr>
        <w:sectPr>
          <w:type w:val="continuous"/>
          <w:pgSz w:h="15840" w:w="12240" w:orient="portrait"/>
          <w:pgMar w:bottom="1418" w:top="1440" w:left="1440" w:right="1440" w:header="708" w:footer="44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62">
      <w:pPr>
        <w:numPr>
          <w:ilvl w:val="0"/>
          <w:numId w:val="1"/>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 L Canister plastic</w:t>
      </w:r>
    </w:p>
    <w:p w:rsidR="00000000" w:rsidDel="00000000" w:rsidP="00000000" w:rsidRDefault="00000000" w:rsidRPr="00000000" w14:paraId="00000063">
      <w:pPr>
        <w:numPr>
          <w:ilvl w:val="0"/>
          <w:numId w:val="1"/>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4 L Canister plastic</w:t>
      </w:r>
    </w:p>
    <w:p w:rsidR="00000000" w:rsidDel="00000000" w:rsidP="00000000" w:rsidRDefault="00000000" w:rsidRPr="00000000" w14:paraId="00000064">
      <w:pPr>
        <w:numPr>
          <w:ilvl w:val="0"/>
          <w:numId w:val="1"/>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5 L Canister plastic</w:t>
      </w:r>
    </w:p>
    <w:p w:rsidR="00000000" w:rsidDel="00000000" w:rsidP="00000000" w:rsidRDefault="00000000" w:rsidRPr="00000000" w14:paraId="00000065">
      <w:pPr>
        <w:spacing w:after="0"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numPr>
          <w:ilvl w:val="0"/>
          <w:numId w:val="1"/>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67">
      <w:pPr>
        <w:numPr>
          <w:ilvl w:val="0"/>
          <w:numId w:val="1"/>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68">
      <w:pPr>
        <w:numPr>
          <w:ilvl w:val="0"/>
          <w:numId w:val="1"/>
        </w:numPr>
        <w:spacing w:line="276" w:lineRule="auto"/>
        <w:ind w:left="426" w:hanging="360"/>
        <w:rPr>
          <w:rFonts w:ascii="Arial" w:cs="Arial" w:eastAsia="Arial" w:hAnsi="Arial"/>
          <w:sz w:val="20"/>
          <w:szCs w:val="2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sz w:val="20"/>
          <w:szCs w:val="20"/>
          <w:rtl w:val="0"/>
        </w:rPr>
        <w:t xml:space="preserve">1000 L Container</w:t>
      </w:r>
    </w:p>
    <w:p w:rsidR="00000000" w:rsidDel="00000000" w:rsidP="00000000" w:rsidRDefault="00000000" w:rsidRPr="00000000" w14:paraId="00000069">
      <w:pPr>
        <w:shd w:fill="ffffff" w:val="clear"/>
        <w:spacing w:after="0" w:line="240" w:lineRule="auto"/>
        <w:rPr>
          <w:rFonts w:ascii="Arial" w:cs="Arial" w:eastAsia="Arial" w:hAnsi="Arial"/>
          <w:b w:val="1"/>
          <w:color w:val="c00000"/>
          <w:sz w:val="8"/>
          <w:szCs w:val="8"/>
        </w:rPr>
      </w:pPr>
      <w:r w:rsidDel="00000000" w:rsidR="00000000" w:rsidRPr="00000000">
        <w:rPr>
          <w:rtl w:val="0"/>
        </w:rPr>
      </w:r>
    </w:p>
    <w:p w:rsidR="00000000" w:rsidDel="00000000" w:rsidP="00000000" w:rsidRDefault="00000000" w:rsidRPr="00000000" w14:paraId="0000006A">
      <w:pPr>
        <w:shd w:fill="ffffff" w:val="clear"/>
        <w:spacing w:after="0" w:line="24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Storage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71">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7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7"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6"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19"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18"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AL/TF-P-0005/03</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hyperlink" Target="http://www.aminol.az" TargetMode="Externa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PQf704E/M4YRp9jDa77kckEbuA==">CgMxLjAyCGguZ2pkZ3hzOAByITFoeHhqWVlUUWJNcGVMVExDa2VpbGJZRVJIdXBjVEdsXw==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2023-08-31T07:18:00Z</dcterms:created>
  <dc:creator>Gismat Abbasov</dc:creator>
</cp:coreProperties>
</file>