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w:t>
      </w:r>
      <w:r w:rsidDel="00000000" w:rsidR="00000000" w:rsidRPr="00000000">
        <w:rPr>
          <w:rFonts w:ascii="Arial" w:cs="Arial" w:eastAsia="Arial" w:hAnsi="Arial"/>
          <w:b w:val="1"/>
          <w:sz w:val="32"/>
          <w:szCs w:val="32"/>
          <w:rtl w:val="0"/>
        </w:rPr>
        <w:t xml:space="preserve">Transmission Fluid ATF IV</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rtl w:val="0"/>
        </w:rPr>
        <w:t xml:space="preserve">Aminol Transmission Fluid ATF IV </w:t>
      </w:r>
      <w:r w:rsidDel="00000000" w:rsidR="00000000" w:rsidRPr="00000000">
        <w:rPr>
          <w:rFonts w:ascii="Arial" w:cs="Arial" w:eastAsia="Arial" w:hAnsi="Arial"/>
          <w:color w:val="000000"/>
          <w:rtl w:val="0"/>
        </w:rPr>
        <w:t xml:space="preserve">is a versatile automatic transmission fluid specifically designed to surpass the service fill demands of all TOYOTA and LEXUS vehicles equipped with AISIN WARNER gearboxes, which necessitate the use of </w:t>
      </w:r>
      <w:r w:rsidDel="00000000" w:rsidR="00000000" w:rsidRPr="00000000">
        <w:rPr>
          <w:rFonts w:ascii="Arial" w:cs="Arial" w:eastAsia="Arial" w:hAnsi="Arial"/>
          <w:rtl w:val="0"/>
        </w:rPr>
        <w:t xml:space="preserve">Aminol Transmission Fluid ATF IV</w:t>
      </w:r>
      <w:r w:rsidDel="00000000" w:rsidR="00000000" w:rsidRPr="00000000">
        <w:rPr>
          <w:rFonts w:ascii="Arial" w:cs="Arial" w:eastAsia="Arial" w:hAnsi="Arial"/>
          <w:color w:val="000000"/>
          <w:rtl w:val="0"/>
        </w:rPr>
        <w:t xml:space="preserve"> fluid. Its exceptional attributes ensure quiet and smooth gear shifts, while also facilitating efficient transmission power, even during challenging driving conditions.</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Transmission Fluid ATF IV is designed for the lubrication of automatic transmissions in cars and light trucks, transporters, buses, trucks and other machines where the use of Toyota T-II/T-III/T-IV transmission fluid is prescribed. Other uses include manual gearboxes, auxiliary gearboxes and hydraulic systems in automobiles, commercial and off-road vehicles, agricultural and road construction machinery and, in particular, ships.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Enhanced shift performance and improved vehicle driveability</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Exceptionally low temperature fluidity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wear protection, better shear stability, and resistance to oxidation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Reduced deposits and prevention of harmful acid formation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Optimized drain intervals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1F">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38.00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169</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-51</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0.830</w:t>
            </w:r>
          </w:p>
        </w:tc>
      </w:tr>
    </w:tbl>
    <w:p w:rsidR="00000000" w:rsidDel="00000000" w:rsidP="00000000" w:rsidRDefault="00000000" w:rsidRPr="00000000" w14:paraId="0000003B">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3C">
      <w:pPr>
        <w:shd w:fill="ffffff" w:val="clear"/>
        <w:spacing w:after="0" w:line="48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Pre-2005</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IID/IIE/IIIG /IIIH</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Honda ATF Z1</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M3151A/M3151A-LV13</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Mitsubishi SP II/SP III</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Chrysler ATF +3/+4</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Nissan Matic C/D/J</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TASA</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 T-II/T-III/T-IV</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09/11A/11B</w:t>
      </w:r>
      <w:r w:rsidDel="00000000" w:rsidR="00000000" w:rsidRPr="00000000">
        <w:rPr>
          <w:rtl w:val="0"/>
        </w:rPr>
      </w:r>
    </w:p>
    <w:p w:rsidR="00000000" w:rsidDel="00000000" w:rsidP="00000000" w:rsidRDefault="00000000" w:rsidRPr="00000000" w14:paraId="00000047">
      <w:pPr>
        <w:shd w:fill="ffffff" w:val="clear"/>
        <w:spacing w:after="0" w:line="276" w:lineRule="auto"/>
        <w:rPr>
          <w:rFonts w:ascii="Arial" w:cs="Arial" w:eastAsia="Arial" w:hAnsi="Arial"/>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48">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1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6"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19"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AL/TF-P-0006/01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www.aminol.az"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qBXRqEIoKkXAPNtTvRvVRUtChQ==">CgMxLjAyCGguZ2pkZ3hzOAByITEzVEhJbTgxRm5yWlNoZDVZcHFlQkcyeENFZ3dXNE1veQ==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2023-08-31T07:22:00Z</dcterms:created>
  <dc:creator>Gismat Abbasov</dc:creator>
</cp:coreProperties>
</file>