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AdBlue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4"/>
          <w:szCs w:val="24"/>
          <w:rtl w:val="0"/>
        </w:rPr>
        <w:t xml:space="preserve">Diesel Exhaust Fluid</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Adblue is a high-quality diesel exhaust fluid made of highly purified urea and demineralized water. It has been designed to reduce exhaust emissions in systems with the Selective Catalytic Reduction (SCR) technology.</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Adblue</w:t>
      </w:r>
      <w:r w:rsidDel="00000000" w:rsidR="00000000" w:rsidRPr="00000000">
        <w:rPr>
          <w:rFonts w:ascii="Arial" w:cs="Arial" w:eastAsia="Arial" w:hAnsi="Arial"/>
          <w:color w:val="000000"/>
          <w:rtl w:val="0"/>
        </w:rPr>
        <w:t xml:space="preserve"> helps reduce nitrogen oxide (NOx) emissions from your vehicle exhaust. It is available for most heavy goods vehicles and also for passenger cars with diesel engines and SCR.</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Preserves engine and post-treatment system performance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Ensures better driving pleasure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Reduces emissions of harmful particles - nitrogen oxides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i w:val="0"/>
          <w:smallCaps w:val="0"/>
          <w:strike w:val="0"/>
          <w:color w:val="c00000"/>
          <w:sz w:val="22"/>
          <w:szCs w:val="22"/>
          <w:u w:val="none"/>
          <w:shd w:fill="auto" w:val="clear"/>
          <w:vertAlign w:val="baseline"/>
        </w:rPr>
      </w:pPr>
      <w:bookmarkStart w:colFirst="0" w:colLast="0" w:name="_heading=h.gjdgxs" w:id="0"/>
      <w:bookmarkEnd w:id="0"/>
      <w:r w:rsidDel="00000000" w:rsidR="00000000" w:rsidRPr="00000000">
        <w:rPr>
          <w:rtl w:val="0"/>
        </w:rPr>
      </w:r>
    </w:p>
    <w:tbl>
      <w:tblPr>
        <w:tblStyle w:val="Table1"/>
        <w:tblW w:w="9900.0" w:type="dxa"/>
        <w:jc w:val="left"/>
        <w:tblLayout w:type="fixed"/>
        <w:tblLook w:val="0400"/>
      </w:tblPr>
      <w:tblGrid>
        <w:gridCol w:w="3360"/>
        <w:gridCol w:w="2180"/>
        <w:gridCol w:w="2180"/>
        <w:gridCol w:w="2180"/>
        <w:tblGridChange w:id="0">
          <w:tblGrid>
            <w:gridCol w:w="3360"/>
            <w:gridCol w:w="2180"/>
            <w:gridCol w:w="2180"/>
            <w:gridCol w:w="2180"/>
          </w:tblGrid>
        </w:tblGridChange>
      </w:tblGrid>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Urea Content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ISO 22241-2 Ann. 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32.0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Density at 20 °C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g/cm</w:t>
            </w:r>
            <w:r w:rsidDel="00000000" w:rsidR="00000000" w:rsidRPr="00000000">
              <w:rPr>
                <w:rFonts w:ascii="Arial" w:cs="Arial" w:eastAsia="Arial" w:hAnsi="Arial"/>
                <w:color w:val="000000"/>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DIN EN ISO 12185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1.0</w:t>
            </w:r>
            <w:r w:rsidDel="00000000" w:rsidR="00000000" w:rsidRPr="00000000">
              <w:rPr>
                <w:rFonts w:ascii="Arial" w:cs="Arial" w:eastAsia="Arial" w:hAnsi="Arial"/>
                <w:sz w:val="20"/>
                <w:szCs w:val="20"/>
                <w:rtl w:val="0"/>
              </w:rPr>
              <w:t xml:space="preserve">890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Refractive index at 20 °C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22241-2 Ann. 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1.38</w:t>
            </w:r>
            <w:r w:rsidDel="00000000" w:rsidR="00000000" w:rsidRPr="00000000">
              <w:rPr>
                <w:rFonts w:ascii="Arial" w:cs="Arial" w:eastAsia="Arial" w:hAnsi="Arial"/>
                <w:sz w:val="20"/>
                <w:szCs w:val="20"/>
                <w:rtl w:val="0"/>
              </w:rPr>
              <w:t xml:space="preserve">20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Alkalinity as NH3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22241-2 Ann. 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0.1</w:t>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22241-1</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70070</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color w:val="0070c0"/>
          <w:sz w:val="20"/>
          <w:szCs w:val="20"/>
          <w:u w:val="singl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Canister plastic</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Canister plastic</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4362450</wp:posOffset>
            </wp:positionH>
            <wp:positionV relativeFrom="paragraph">
              <wp:posOffset>98757</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AL/TF-P-0001/01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56ZmCdaBI1id3DNQIVcmNYonsQ==">CgMxLjAyCGguZ2pkZ3hzOAByITE5enBMcFJNYWtEcmhrZTRzZjZBcDByRUZ3TE9XdGtPUQ==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2023-08-31T17:41:00Z</dcterms:created>
  <dc:creator>Gismat Abbasov</dc:creator>
</cp:coreProperties>
</file>