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0963CF95"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AE39FB">
        <w:rPr>
          <w:rFonts w:ascii="Arial" w:hAnsi="Arial" w:cs="Arial"/>
          <w:b/>
          <w:bCs/>
          <w:color w:val="000000" w:themeColor="text1"/>
          <w:sz w:val="32"/>
          <w:szCs w:val="32"/>
        </w:rPr>
        <w:t>AdBlue</w:t>
      </w:r>
    </w:p>
    <w:p w14:paraId="0CA5C8C6" w14:textId="2DC65EA2" w:rsidR="00A9192B" w:rsidRDefault="00AE39FB"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AdBlue</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2760D145" w:rsidR="00B03CCD" w:rsidRDefault="00AE39FB" w:rsidP="00B03CCD">
      <w:pPr>
        <w:shd w:val="clear" w:color="auto" w:fill="FFFFFF"/>
        <w:spacing w:after="0" w:line="276" w:lineRule="auto"/>
        <w:rPr>
          <w:rFonts w:ascii="Arial" w:eastAsia="Times New Roman" w:hAnsi="Arial" w:cs="Arial"/>
          <w:color w:val="000000" w:themeColor="text1"/>
          <w:sz w:val="20"/>
          <w:szCs w:val="20"/>
        </w:rPr>
      </w:pPr>
      <w:r w:rsidRPr="00AE39FB">
        <w:rPr>
          <w:rFonts w:ascii="Arial" w:eastAsia="Times New Roman" w:hAnsi="Arial" w:cs="Arial"/>
          <w:color w:val="000000" w:themeColor="text1"/>
          <w:sz w:val="20"/>
          <w:szCs w:val="20"/>
        </w:rPr>
        <w:t>Aminol™ Adblue is a high-quality diesel exhaust fluid made of highly purified urea and demineralized water. It has been designed to reduce exhaust emissions in systems with the Selective Catalytic Reduction (SCR) technology.</w:t>
      </w:r>
    </w:p>
    <w:p w14:paraId="484904CE" w14:textId="77777777" w:rsidR="00AE39FB" w:rsidRDefault="00AE39FB"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33C3759" w14:textId="77777777" w:rsidR="00AE39FB" w:rsidRPr="00AE39FB" w:rsidRDefault="00AE39FB" w:rsidP="00AE39FB">
      <w:pPr>
        <w:pStyle w:val="ListParagraph"/>
        <w:numPr>
          <w:ilvl w:val="0"/>
          <w:numId w:val="19"/>
        </w:numPr>
        <w:shd w:val="clear" w:color="auto" w:fill="FFFFFF"/>
        <w:spacing w:after="0" w:line="276" w:lineRule="auto"/>
        <w:rPr>
          <w:rFonts w:ascii="Arial" w:hAnsi="Arial" w:cs="Arial"/>
        </w:rPr>
      </w:pPr>
      <w:r w:rsidRPr="00AE39FB">
        <w:rPr>
          <w:rFonts w:ascii="Arial" w:hAnsi="Arial" w:cs="Arial"/>
        </w:rPr>
        <w:t>Preserves engine and post-treatment system performance</w:t>
      </w:r>
    </w:p>
    <w:p w14:paraId="7824283F" w14:textId="77777777" w:rsidR="00AE39FB" w:rsidRPr="00AE39FB" w:rsidRDefault="00AE39FB" w:rsidP="00AE39FB">
      <w:pPr>
        <w:pStyle w:val="ListParagraph"/>
        <w:numPr>
          <w:ilvl w:val="0"/>
          <w:numId w:val="19"/>
        </w:numPr>
        <w:shd w:val="clear" w:color="auto" w:fill="FFFFFF"/>
        <w:spacing w:after="0" w:line="276" w:lineRule="auto"/>
        <w:rPr>
          <w:rFonts w:ascii="Arial" w:hAnsi="Arial" w:cs="Arial"/>
        </w:rPr>
      </w:pPr>
      <w:r w:rsidRPr="00AE39FB">
        <w:rPr>
          <w:rFonts w:ascii="Arial" w:hAnsi="Arial" w:cs="Arial"/>
        </w:rPr>
        <w:t xml:space="preserve">Ensures better driving pleasure </w:t>
      </w:r>
    </w:p>
    <w:p w14:paraId="490B43FC" w14:textId="2333CCC3" w:rsidR="00AE39FB" w:rsidRDefault="00AE39FB" w:rsidP="00AE39FB">
      <w:pPr>
        <w:pStyle w:val="ListParagraph"/>
        <w:numPr>
          <w:ilvl w:val="0"/>
          <w:numId w:val="19"/>
        </w:numPr>
        <w:shd w:val="clear" w:color="auto" w:fill="FFFFFF"/>
        <w:spacing w:after="0" w:line="276" w:lineRule="auto"/>
        <w:rPr>
          <w:rFonts w:ascii="Arial" w:hAnsi="Arial" w:cs="Arial"/>
        </w:rPr>
      </w:pPr>
      <w:r w:rsidRPr="00AE39FB">
        <w:rPr>
          <w:rFonts w:ascii="Arial" w:hAnsi="Arial" w:cs="Arial"/>
        </w:rPr>
        <w:t>Reduces emissions of harmful particles - nitrogen oxides</w:t>
      </w:r>
    </w:p>
    <w:p w14:paraId="15431B6D" w14:textId="77777777" w:rsidR="00AE39FB" w:rsidRPr="00205A34" w:rsidRDefault="00AE39FB" w:rsidP="00AE39FB">
      <w:pPr>
        <w:pStyle w:val="ListParagraph"/>
        <w:shd w:val="clear" w:color="auto" w:fill="FFFFFF"/>
        <w:spacing w:after="0" w:line="276" w:lineRule="auto"/>
        <w:ind w:left="360"/>
        <w:rPr>
          <w:rFonts w:ascii="Arial" w:hAnsi="Arial" w:cs="Arial"/>
        </w:rPr>
      </w:pPr>
    </w:p>
    <w:p w14:paraId="54787E46" w14:textId="6E328261" w:rsidR="00597FD4" w:rsidRDefault="006A5F1C" w:rsidP="00AE39FB">
      <w:pPr>
        <w:pStyle w:val="ListParagraph"/>
        <w:shd w:val="clear" w:color="auto" w:fill="FFFFFF"/>
        <w:spacing w:after="0" w:line="276" w:lineRule="auto"/>
        <w:ind w:left="360"/>
        <w:rPr>
          <w:rFonts w:ascii="Arial" w:hAnsi="Arial" w:cs="Arial"/>
          <w:b/>
          <w:bCs/>
          <w:color w:val="C00000"/>
        </w:rPr>
      </w:pPr>
      <w:r>
        <w:rPr>
          <w:rFonts w:ascii="Arial" w:hAnsi="Arial" w:cs="Arial"/>
          <w:b/>
          <w:bCs/>
          <w:color w:val="C00000"/>
        </w:rPr>
        <w:t xml:space="preserve">Typical </w:t>
      </w:r>
      <w:r w:rsidR="006A7B53">
        <w:rPr>
          <w:rFonts w:ascii="Arial" w:hAnsi="Arial" w:cs="Arial"/>
          <w:b/>
          <w:bCs/>
          <w:color w:val="C00000"/>
        </w:rPr>
        <w:t>Properties</w:t>
      </w:r>
    </w:p>
    <w:p w14:paraId="22C0AF23" w14:textId="77777777" w:rsidR="000355B2" w:rsidRDefault="000355B2" w:rsidP="00AE39FB">
      <w:pPr>
        <w:pStyle w:val="ListParagraph"/>
        <w:shd w:val="clear" w:color="auto" w:fill="FFFFFF"/>
        <w:spacing w:after="0" w:line="276" w:lineRule="auto"/>
        <w:ind w:left="360"/>
        <w:rPr>
          <w:rFonts w:ascii="Arial" w:hAnsi="Arial" w:cs="Arial"/>
          <w:b/>
          <w:bCs/>
          <w:color w:val="C00000"/>
        </w:rPr>
      </w:pPr>
    </w:p>
    <w:tbl>
      <w:tblPr>
        <w:tblW w:w="9900" w:type="dxa"/>
        <w:tblLook w:val="04A0" w:firstRow="1" w:lastRow="0" w:firstColumn="1" w:lastColumn="0" w:noHBand="0" w:noVBand="1"/>
      </w:tblPr>
      <w:tblGrid>
        <w:gridCol w:w="3360"/>
        <w:gridCol w:w="2180"/>
        <w:gridCol w:w="2180"/>
        <w:gridCol w:w="2180"/>
      </w:tblGrid>
      <w:tr w:rsidR="000355B2" w:rsidRPr="000355B2" w14:paraId="0F487DE8" w14:textId="77777777" w:rsidTr="000355B2">
        <w:trPr>
          <w:trHeight w:val="615"/>
        </w:trPr>
        <w:tc>
          <w:tcPr>
            <w:tcW w:w="336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5249CDA" w14:textId="77777777" w:rsidR="000355B2" w:rsidRPr="000355B2" w:rsidRDefault="000355B2" w:rsidP="000355B2">
            <w:pPr>
              <w:spacing w:after="0" w:line="240" w:lineRule="auto"/>
              <w:jc w:val="center"/>
              <w:rPr>
                <w:rFonts w:ascii="Arial" w:eastAsia="Times New Roman" w:hAnsi="Arial" w:cs="Arial"/>
                <w:b/>
                <w:bCs/>
                <w:color w:val="000000"/>
                <w:sz w:val="20"/>
                <w:szCs w:val="20"/>
              </w:rPr>
            </w:pPr>
            <w:r w:rsidRPr="000355B2">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78A22D0F" w14:textId="77777777" w:rsidR="000355B2" w:rsidRPr="000355B2" w:rsidRDefault="000355B2" w:rsidP="000355B2">
            <w:pPr>
              <w:spacing w:after="0" w:line="240" w:lineRule="auto"/>
              <w:jc w:val="center"/>
              <w:rPr>
                <w:rFonts w:ascii="Arial" w:eastAsia="Times New Roman" w:hAnsi="Arial" w:cs="Arial"/>
                <w:b/>
                <w:bCs/>
                <w:color w:val="000000"/>
                <w:sz w:val="20"/>
                <w:szCs w:val="20"/>
              </w:rPr>
            </w:pPr>
            <w:r w:rsidRPr="000355B2">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0A79ECD" w14:textId="77777777" w:rsidR="000355B2" w:rsidRPr="000355B2" w:rsidRDefault="000355B2" w:rsidP="000355B2">
            <w:pPr>
              <w:spacing w:after="0" w:line="240" w:lineRule="auto"/>
              <w:jc w:val="center"/>
              <w:rPr>
                <w:rFonts w:ascii="Arial" w:eastAsia="Times New Roman" w:hAnsi="Arial" w:cs="Arial"/>
                <w:b/>
                <w:bCs/>
                <w:color w:val="000000"/>
                <w:sz w:val="20"/>
                <w:szCs w:val="20"/>
              </w:rPr>
            </w:pPr>
            <w:r w:rsidRPr="000355B2">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3983C5D0" w14:textId="77777777" w:rsidR="000355B2" w:rsidRPr="000355B2" w:rsidRDefault="000355B2" w:rsidP="000355B2">
            <w:pPr>
              <w:spacing w:after="0" w:line="240" w:lineRule="auto"/>
              <w:jc w:val="center"/>
              <w:rPr>
                <w:rFonts w:ascii="Arial" w:eastAsia="Times New Roman" w:hAnsi="Arial" w:cs="Arial"/>
                <w:b/>
                <w:bCs/>
                <w:color w:val="000000"/>
                <w:sz w:val="20"/>
                <w:szCs w:val="20"/>
              </w:rPr>
            </w:pPr>
            <w:r w:rsidRPr="000355B2">
              <w:rPr>
                <w:rFonts w:ascii="Arial" w:eastAsia="Times New Roman" w:hAnsi="Arial" w:cs="Arial"/>
                <w:b/>
                <w:bCs/>
                <w:color w:val="000000"/>
                <w:sz w:val="20"/>
                <w:szCs w:val="20"/>
              </w:rPr>
              <w:t>Typical value</w:t>
            </w:r>
          </w:p>
        </w:tc>
      </w:tr>
      <w:tr w:rsidR="000355B2" w:rsidRPr="000355B2" w14:paraId="1CCC814E"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6B12D4D7"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Urea Content</w:t>
            </w:r>
          </w:p>
        </w:tc>
        <w:tc>
          <w:tcPr>
            <w:tcW w:w="2180" w:type="dxa"/>
            <w:tcBorders>
              <w:top w:val="nil"/>
              <w:left w:val="nil"/>
              <w:bottom w:val="single" w:sz="4" w:space="0" w:color="auto"/>
              <w:right w:val="single" w:sz="4" w:space="0" w:color="auto"/>
            </w:tcBorders>
            <w:shd w:val="clear" w:color="auto" w:fill="auto"/>
            <w:noWrap/>
            <w:vAlign w:val="bottom"/>
            <w:hideMark/>
          </w:tcPr>
          <w:p w14:paraId="4C7C38B6"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noWrap/>
            <w:vAlign w:val="center"/>
            <w:hideMark/>
          </w:tcPr>
          <w:p w14:paraId="54987AA7"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 xml:space="preserve"> ISO 22241-2 Ann. C</w:t>
            </w:r>
          </w:p>
        </w:tc>
        <w:tc>
          <w:tcPr>
            <w:tcW w:w="2180" w:type="dxa"/>
            <w:tcBorders>
              <w:top w:val="nil"/>
              <w:left w:val="nil"/>
              <w:bottom w:val="single" w:sz="4" w:space="0" w:color="auto"/>
              <w:right w:val="single" w:sz="4" w:space="0" w:color="auto"/>
            </w:tcBorders>
            <w:shd w:val="clear" w:color="auto" w:fill="auto"/>
            <w:noWrap/>
            <w:vAlign w:val="bottom"/>
            <w:hideMark/>
          </w:tcPr>
          <w:p w14:paraId="78A63F04"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23CBC81C"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6C8942C2"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Density at 20 °C</w:t>
            </w:r>
          </w:p>
        </w:tc>
        <w:tc>
          <w:tcPr>
            <w:tcW w:w="2180" w:type="dxa"/>
            <w:tcBorders>
              <w:top w:val="nil"/>
              <w:left w:val="nil"/>
              <w:bottom w:val="single" w:sz="4" w:space="0" w:color="auto"/>
              <w:right w:val="single" w:sz="4" w:space="0" w:color="auto"/>
            </w:tcBorders>
            <w:shd w:val="clear" w:color="auto" w:fill="auto"/>
            <w:vAlign w:val="center"/>
            <w:hideMark/>
          </w:tcPr>
          <w:p w14:paraId="68D2F9DF"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g/cm</w:t>
            </w:r>
            <w:r w:rsidRPr="000355B2">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noWrap/>
            <w:vAlign w:val="center"/>
            <w:hideMark/>
          </w:tcPr>
          <w:p w14:paraId="00C8C159"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DIN EN ISO 12185</w:t>
            </w:r>
          </w:p>
        </w:tc>
        <w:tc>
          <w:tcPr>
            <w:tcW w:w="2180" w:type="dxa"/>
            <w:tcBorders>
              <w:top w:val="nil"/>
              <w:left w:val="nil"/>
              <w:bottom w:val="single" w:sz="4" w:space="0" w:color="auto"/>
              <w:right w:val="single" w:sz="4" w:space="0" w:color="auto"/>
            </w:tcBorders>
            <w:shd w:val="clear" w:color="auto" w:fill="auto"/>
            <w:noWrap/>
            <w:vAlign w:val="bottom"/>
            <w:hideMark/>
          </w:tcPr>
          <w:p w14:paraId="30AE24F0"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357596B0"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5BC88CA2"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xml:space="preserve">Refractive index at 20 °C </w:t>
            </w:r>
          </w:p>
        </w:tc>
        <w:tc>
          <w:tcPr>
            <w:tcW w:w="2180" w:type="dxa"/>
            <w:tcBorders>
              <w:top w:val="nil"/>
              <w:left w:val="nil"/>
              <w:bottom w:val="single" w:sz="4" w:space="0" w:color="auto"/>
              <w:right w:val="single" w:sz="4" w:space="0" w:color="auto"/>
            </w:tcBorders>
            <w:shd w:val="clear" w:color="auto" w:fill="auto"/>
            <w:noWrap/>
            <w:vAlign w:val="bottom"/>
            <w:hideMark/>
          </w:tcPr>
          <w:p w14:paraId="37C81CB9"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noWrap/>
            <w:vAlign w:val="center"/>
            <w:hideMark/>
          </w:tcPr>
          <w:p w14:paraId="1302BCBA"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C</w:t>
            </w:r>
          </w:p>
        </w:tc>
        <w:tc>
          <w:tcPr>
            <w:tcW w:w="2180" w:type="dxa"/>
            <w:tcBorders>
              <w:top w:val="nil"/>
              <w:left w:val="nil"/>
              <w:bottom w:val="single" w:sz="4" w:space="0" w:color="auto"/>
              <w:right w:val="single" w:sz="4" w:space="0" w:color="auto"/>
            </w:tcBorders>
            <w:shd w:val="clear" w:color="auto" w:fill="auto"/>
            <w:noWrap/>
            <w:vAlign w:val="bottom"/>
            <w:hideMark/>
          </w:tcPr>
          <w:p w14:paraId="6B0EE50A"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0709FF3E"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7B22A0B2"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xml:space="preserve">Alkalinity as NH3 </w:t>
            </w:r>
          </w:p>
        </w:tc>
        <w:tc>
          <w:tcPr>
            <w:tcW w:w="2180" w:type="dxa"/>
            <w:tcBorders>
              <w:top w:val="nil"/>
              <w:left w:val="nil"/>
              <w:bottom w:val="single" w:sz="4" w:space="0" w:color="auto"/>
              <w:right w:val="single" w:sz="4" w:space="0" w:color="auto"/>
            </w:tcBorders>
            <w:shd w:val="clear" w:color="auto" w:fill="auto"/>
            <w:noWrap/>
            <w:vAlign w:val="bottom"/>
            <w:hideMark/>
          </w:tcPr>
          <w:p w14:paraId="7A7BC6CB"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noWrap/>
            <w:vAlign w:val="center"/>
            <w:hideMark/>
          </w:tcPr>
          <w:p w14:paraId="79865CF1"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D</w:t>
            </w:r>
          </w:p>
        </w:tc>
        <w:tc>
          <w:tcPr>
            <w:tcW w:w="2180" w:type="dxa"/>
            <w:tcBorders>
              <w:top w:val="nil"/>
              <w:left w:val="nil"/>
              <w:bottom w:val="single" w:sz="4" w:space="0" w:color="auto"/>
              <w:right w:val="single" w:sz="4" w:space="0" w:color="auto"/>
            </w:tcBorders>
            <w:shd w:val="clear" w:color="auto" w:fill="auto"/>
            <w:noWrap/>
            <w:vAlign w:val="bottom"/>
            <w:hideMark/>
          </w:tcPr>
          <w:p w14:paraId="32A88BDA"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2A259353"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2591A738"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Biuret</w:t>
            </w:r>
          </w:p>
        </w:tc>
        <w:tc>
          <w:tcPr>
            <w:tcW w:w="2180" w:type="dxa"/>
            <w:tcBorders>
              <w:top w:val="nil"/>
              <w:left w:val="nil"/>
              <w:bottom w:val="single" w:sz="4" w:space="0" w:color="auto"/>
              <w:right w:val="single" w:sz="4" w:space="0" w:color="auto"/>
            </w:tcBorders>
            <w:shd w:val="clear" w:color="auto" w:fill="auto"/>
            <w:noWrap/>
            <w:vAlign w:val="bottom"/>
            <w:hideMark/>
          </w:tcPr>
          <w:p w14:paraId="5FC8E3F0"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noWrap/>
            <w:vAlign w:val="center"/>
            <w:hideMark/>
          </w:tcPr>
          <w:p w14:paraId="38DD4ACD"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E</w:t>
            </w:r>
          </w:p>
        </w:tc>
        <w:tc>
          <w:tcPr>
            <w:tcW w:w="2180" w:type="dxa"/>
            <w:tcBorders>
              <w:top w:val="nil"/>
              <w:left w:val="nil"/>
              <w:bottom w:val="single" w:sz="4" w:space="0" w:color="auto"/>
              <w:right w:val="single" w:sz="4" w:space="0" w:color="auto"/>
            </w:tcBorders>
            <w:shd w:val="clear" w:color="auto" w:fill="auto"/>
            <w:noWrap/>
            <w:vAlign w:val="bottom"/>
            <w:hideMark/>
          </w:tcPr>
          <w:p w14:paraId="1C8B616F"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49153D22"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7E91B33C"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Aldehydes</w:t>
            </w:r>
          </w:p>
        </w:tc>
        <w:tc>
          <w:tcPr>
            <w:tcW w:w="2180" w:type="dxa"/>
            <w:tcBorders>
              <w:top w:val="nil"/>
              <w:left w:val="nil"/>
              <w:bottom w:val="single" w:sz="4" w:space="0" w:color="auto"/>
              <w:right w:val="single" w:sz="4" w:space="0" w:color="auto"/>
            </w:tcBorders>
            <w:shd w:val="clear" w:color="auto" w:fill="auto"/>
            <w:noWrap/>
            <w:vAlign w:val="center"/>
            <w:hideMark/>
          </w:tcPr>
          <w:p w14:paraId="36960E11"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35A67306"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 xml:space="preserve"> ISO 22241-2 Ann. F</w:t>
            </w:r>
          </w:p>
        </w:tc>
        <w:tc>
          <w:tcPr>
            <w:tcW w:w="2180" w:type="dxa"/>
            <w:tcBorders>
              <w:top w:val="nil"/>
              <w:left w:val="nil"/>
              <w:bottom w:val="single" w:sz="4" w:space="0" w:color="auto"/>
              <w:right w:val="single" w:sz="4" w:space="0" w:color="auto"/>
            </w:tcBorders>
            <w:shd w:val="clear" w:color="auto" w:fill="auto"/>
            <w:noWrap/>
            <w:vAlign w:val="bottom"/>
            <w:hideMark/>
          </w:tcPr>
          <w:p w14:paraId="4D9786A5"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178486F7"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4ED72F59"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Insolubles</w:t>
            </w:r>
          </w:p>
        </w:tc>
        <w:tc>
          <w:tcPr>
            <w:tcW w:w="2180" w:type="dxa"/>
            <w:tcBorders>
              <w:top w:val="nil"/>
              <w:left w:val="nil"/>
              <w:bottom w:val="single" w:sz="4" w:space="0" w:color="auto"/>
              <w:right w:val="single" w:sz="4" w:space="0" w:color="auto"/>
            </w:tcBorders>
            <w:shd w:val="clear" w:color="auto" w:fill="auto"/>
            <w:noWrap/>
            <w:vAlign w:val="center"/>
            <w:hideMark/>
          </w:tcPr>
          <w:p w14:paraId="304035AF"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2A5857F0"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G</w:t>
            </w:r>
          </w:p>
        </w:tc>
        <w:tc>
          <w:tcPr>
            <w:tcW w:w="2180" w:type="dxa"/>
            <w:tcBorders>
              <w:top w:val="nil"/>
              <w:left w:val="nil"/>
              <w:bottom w:val="single" w:sz="4" w:space="0" w:color="auto"/>
              <w:right w:val="single" w:sz="4" w:space="0" w:color="auto"/>
            </w:tcBorders>
            <w:shd w:val="clear" w:color="auto" w:fill="auto"/>
            <w:noWrap/>
            <w:vAlign w:val="bottom"/>
            <w:hideMark/>
          </w:tcPr>
          <w:p w14:paraId="1A32521B"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0C1C8F7E"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523A6B33"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Phosphate (PO4)</w:t>
            </w:r>
          </w:p>
        </w:tc>
        <w:tc>
          <w:tcPr>
            <w:tcW w:w="2180" w:type="dxa"/>
            <w:tcBorders>
              <w:top w:val="nil"/>
              <w:left w:val="nil"/>
              <w:bottom w:val="single" w:sz="4" w:space="0" w:color="auto"/>
              <w:right w:val="single" w:sz="4" w:space="0" w:color="auto"/>
            </w:tcBorders>
            <w:shd w:val="clear" w:color="auto" w:fill="auto"/>
            <w:noWrap/>
            <w:vAlign w:val="center"/>
            <w:hideMark/>
          </w:tcPr>
          <w:p w14:paraId="262F6995"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03F23BBF"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H</w:t>
            </w:r>
          </w:p>
        </w:tc>
        <w:tc>
          <w:tcPr>
            <w:tcW w:w="2180" w:type="dxa"/>
            <w:tcBorders>
              <w:top w:val="nil"/>
              <w:left w:val="nil"/>
              <w:bottom w:val="single" w:sz="4" w:space="0" w:color="auto"/>
              <w:right w:val="single" w:sz="4" w:space="0" w:color="auto"/>
            </w:tcBorders>
            <w:shd w:val="clear" w:color="auto" w:fill="auto"/>
            <w:noWrap/>
            <w:vAlign w:val="bottom"/>
            <w:hideMark/>
          </w:tcPr>
          <w:p w14:paraId="7EEAADDA"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4A13D4D4"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3EB97BA9"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Calcium</w:t>
            </w:r>
          </w:p>
        </w:tc>
        <w:tc>
          <w:tcPr>
            <w:tcW w:w="2180" w:type="dxa"/>
            <w:tcBorders>
              <w:top w:val="nil"/>
              <w:left w:val="nil"/>
              <w:bottom w:val="single" w:sz="4" w:space="0" w:color="auto"/>
              <w:right w:val="single" w:sz="4" w:space="0" w:color="auto"/>
            </w:tcBorders>
            <w:shd w:val="clear" w:color="auto" w:fill="auto"/>
            <w:noWrap/>
            <w:vAlign w:val="center"/>
            <w:hideMark/>
          </w:tcPr>
          <w:p w14:paraId="6CC9E6A5"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18A2497F"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24EA42DD"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11BF3FFF"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75D899DC"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Iron</w:t>
            </w:r>
          </w:p>
        </w:tc>
        <w:tc>
          <w:tcPr>
            <w:tcW w:w="2180" w:type="dxa"/>
            <w:tcBorders>
              <w:top w:val="nil"/>
              <w:left w:val="nil"/>
              <w:bottom w:val="single" w:sz="4" w:space="0" w:color="auto"/>
              <w:right w:val="single" w:sz="4" w:space="0" w:color="auto"/>
            </w:tcBorders>
            <w:shd w:val="clear" w:color="auto" w:fill="auto"/>
            <w:noWrap/>
            <w:vAlign w:val="center"/>
            <w:hideMark/>
          </w:tcPr>
          <w:p w14:paraId="11938CC1"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648B7717"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5564A949"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759ECC4B"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7106D161"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Copper</w:t>
            </w:r>
          </w:p>
        </w:tc>
        <w:tc>
          <w:tcPr>
            <w:tcW w:w="2180" w:type="dxa"/>
            <w:tcBorders>
              <w:top w:val="nil"/>
              <w:left w:val="nil"/>
              <w:bottom w:val="single" w:sz="4" w:space="0" w:color="auto"/>
              <w:right w:val="single" w:sz="4" w:space="0" w:color="auto"/>
            </w:tcBorders>
            <w:shd w:val="clear" w:color="auto" w:fill="auto"/>
            <w:noWrap/>
            <w:vAlign w:val="center"/>
            <w:hideMark/>
          </w:tcPr>
          <w:p w14:paraId="2D9B7BD6"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40EA957D"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0275A099"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42096662"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68105AB9"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Zinc</w:t>
            </w:r>
          </w:p>
        </w:tc>
        <w:tc>
          <w:tcPr>
            <w:tcW w:w="2180" w:type="dxa"/>
            <w:tcBorders>
              <w:top w:val="nil"/>
              <w:left w:val="nil"/>
              <w:bottom w:val="single" w:sz="4" w:space="0" w:color="auto"/>
              <w:right w:val="single" w:sz="4" w:space="0" w:color="auto"/>
            </w:tcBorders>
            <w:shd w:val="clear" w:color="auto" w:fill="auto"/>
            <w:noWrap/>
            <w:vAlign w:val="center"/>
            <w:hideMark/>
          </w:tcPr>
          <w:p w14:paraId="56755754"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6EA40F79"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26F28C9F"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2473E450"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7DA9A766"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Chromium</w:t>
            </w:r>
          </w:p>
        </w:tc>
        <w:tc>
          <w:tcPr>
            <w:tcW w:w="2180" w:type="dxa"/>
            <w:tcBorders>
              <w:top w:val="nil"/>
              <w:left w:val="nil"/>
              <w:bottom w:val="single" w:sz="4" w:space="0" w:color="auto"/>
              <w:right w:val="single" w:sz="4" w:space="0" w:color="auto"/>
            </w:tcBorders>
            <w:shd w:val="clear" w:color="auto" w:fill="auto"/>
            <w:noWrap/>
            <w:vAlign w:val="center"/>
            <w:hideMark/>
          </w:tcPr>
          <w:p w14:paraId="7087E02C"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27AFFC62"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257213F2"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1778ED32"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0D0A89C9"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Nickel</w:t>
            </w:r>
          </w:p>
        </w:tc>
        <w:tc>
          <w:tcPr>
            <w:tcW w:w="2180" w:type="dxa"/>
            <w:tcBorders>
              <w:top w:val="nil"/>
              <w:left w:val="nil"/>
              <w:bottom w:val="single" w:sz="4" w:space="0" w:color="auto"/>
              <w:right w:val="single" w:sz="4" w:space="0" w:color="auto"/>
            </w:tcBorders>
            <w:shd w:val="clear" w:color="auto" w:fill="auto"/>
            <w:noWrap/>
            <w:vAlign w:val="center"/>
            <w:hideMark/>
          </w:tcPr>
          <w:p w14:paraId="6854AAC0"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13277393"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6B89907D"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731E9CA6"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15304C4B"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lastRenderedPageBreak/>
              <w:t>Aluminium</w:t>
            </w:r>
          </w:p>
        </w:tc>
        <w:tc>
          <w:tcPr>
            <w:tcW w:w="2180" w:type="dxa"/>
            <w:tcBorders>
              <w:top w:val="nil"/>
              <w:left w:val="nil"/>
              <w:bottom w:val="single" w:sz="4" w:space="0" w:color="auto"/>
              <w:right w:val="single" w:sz="4" w:space="0" w:color="auto"/>
            </w:tcBorders>
            <w:shd w:val="clear" w:color="auto" w:fill="auto"/>
            <w:noWrap/>
            <w:vAlign w:val="center"/>
            <w:hideMark/>
          </w:tcPr>
          <w:p w14:paraId="78EB8467"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7E43553B"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7829B556"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37A52DAF"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786C889C"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Magnesium</w:t>
            </w:r>
          </w:p>
        </w:tc>
        <w:tc>
          <w:tcPr>
            <w:tcW w:w="2180" w:type="dxa"/>
            <w:tcBorders>
              <w:top w:val="nil"/>
              <w:left w:val="nil"/>
              <w:bottom w:val="single" w:sz="4" w:space="0" w:color="auto"/>
              <w:right w:val="single" w:sz="4" w:space="0" w:color="auto"/>
            </w:tcBorders>
            <w:shd w:val="clear" w:color="auto" w:fill="auto"/>
            <w:noWrap/>
            <w:vAlign w:val="center"/>
            <w:hideMark/>
          </w:tcPr>
          <w:p w14:paraId="76C1AFB2"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7F7E3692"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2800896F"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29E42D37"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56D65B8E"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Sodium</w:t>
            </w:r>
          </w:p>
        </w:tc>
        <w:tc>
          <w:tcPr>
            <w:tcW w:w="2180" w:type="dxa"/>
            <w:tcBorders>
              <w:top w:val="nil"/>
              <w:left w:val="nil"/>
              <w:bottom w:val="single" w:sz="4" w:space="0" w:color="auto"/>
              <w:right w:val="single" w:sz="4" w:space="0" w:color="auto"/>
            </w:tcBorders>
            <w:shd w:val="clear" w:color="auto" w:fill="auto"/>
            <w:noWrap/>
            <w:vAlign w:val="center"/>
            <w:hideMark/>
          </w:tcPr>
          <w:p w14:paraId="78832D46"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5B6CDCB3"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7A5BAC0B"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r w:rsidR="000355B2" w:rsidRPr="000355B2" w14:paraId="00540C14" w14:textId="77777777" w:rsidTr="000355B2">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31A75D57"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Potassium</w:t>
            </w:r>
          </w:p>
        </w:tc>
        <w:tc>
          <w:tcPr>
            <w:tcW w:w="2180" w:type="dxa"/>
            <w:tcBorders>
              <w:top w:val="nil"/>
              <w:left w:val="nil"/>
              <w:bottom w:val="single" w:sz="4" w:space="0" w:color="auto"/>
              <w:right w:val="single" w:sz="4" w:space="0" w:color="auto"/>
            </w:tcBorders>
            <w:shd w:val="clear" w:color="auto" w:fill="auto"/>
            <w:noWrap/>
            <w:vAlign w:val="center"/>
            <w:hideMark/>
          </w:tcPr>
          <w:p w14:paraId="7CB49B95"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mg/kg</w:t>
            </w:r>
          </w:p>
        </w:tc>
        <w:tc>
          <w:tcPr>
            <w:tcW w:w="2180" w:type="dxa"/>
            <w:tcBorders>
              <w:top w:val="nil"/>
              <w:left w:val="nil"/>
              <w:bottom w:val="single" w:sz="4" w:space="0" w:color="auto"/>
              <w:right w:val="single" w:sz="4" w:space="0" w:color="auto"/>
            </w:tcBorders>
            <w:shd w:val="clear" w:color="auto" w:fill="auto"/>
            <w:noWrap/>
            <w:vAlign w:val="center"/>
            <w:hideMark/>
          </w:tcPr>
          <w:p w14:paraId="37C1A02F" w14:textId="77777777" w:rsidR="000355B2" w:rsidRPr="000355B2" w:rsidRDefault="000355B2" w:rsidP="000355B2">
            <w:pPr>
              <w:spacing w:after="0" w:line="240" w:lineRule="auto"/>
              <w:jc w:val="center"/>
              <w:rPr>
                <w:rFonts w:ascii="Arial" w:eastAsia="Times New Roman" w:hAnsi="Arial" w:cs="Arial"/>
                <w:color w:val="000000"/>
                <w:sz w:val="20"/>
                <w:szCs w:val="20"/>
              </w:rPr>
            </w:pPr>
            <w:r w:rsidRPr="000355B2">
              <w:rPr>
                <w:rFonts w:ascii="Arial" w:eastAsia="Times New Roman" w:hAnsi="Arial" w:cs="Arial"/>
                <w:color w:val="000000"/>
                <w:sz w:val="20"/>
                <w:szCs w:val="20"/>
              </w:rPr>
              <w:t>ISO 22241-2 Ann. I</w:t>
            </w:r>
          </w:p>
        </w:tc>
        <w:tc>
          <w:tcPr>
            <w:tcW w:w="2180" w:type="dxa"/>
            <w:tcBorders>
              <w:top w:val="nil"/>
              <w:left w:val="nil"/>
              <w:bottom w:val="single" w:sz="4" w:space="0" w:color="auto"/>
              <w:right w:val="single" w:sz="4" w:space="0" w:color="auto"/>
            </w:tcBorders>
            <w:shd w:val="clear" w:color="auto" w:fill="auto"/>
            <w:noWrap/>
            <w:vAlign w:val="bottom"/>
            <w:hideMark/>
          </w:tcPr>
          <w:p w14:paraId="1A2B0B0F" w14:textId="77777777" w:rsidR="000355B2" w:rsidRPr="000355B2" w:rsidRDefault="000355B2" w:rsidP="000355B2">
            <w:pPr>
              <w:spacing w:after="0" w:line="240" w:lineRule="auto"/>
              <w:rPr>
                <w:rFonts w:ascii="Arial" w:eastAsia="Times New Roman" w:hAnsi="Arial" w:cs="Arial"/>
                <w:color w:val="000000"/>
                <w:sz w:val="20"/>
                <w:szCs w:val="20"/>
              </w:rPr>
            </w:pPr>
            <w:r w:rsidRPr="000355B2">
              <w:rPr>
                <w:rFonts w:ascii="Arial" w:eastAsia="Times New Roman" w:hAnsi="Arial" w:cs="Arial"/>
                <w:color w:val="000000"/>
                <w:sz w:val="20"/>
                <w:szCs w:val="20"/>
              </w:rPr>
              <w:t> </w:t>
            </w:r>
          </w:p>
        </w:tc>
      </w:tr>
    </w:tbl>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62C5B98" w14:textId="77777777" w:rsidR="00AE39FB" w:rsidRDefault="00AE39FB" w:rsidP="008573B7">
      <w:pPr>
        <w:shd w:val="clear" w:color="auto" w:fill="FFFFFF"/>
        <w:spacing w:after="0" w:line="480" w:lineRule="auto"/>
        <w:rPr>
          <w:rFonts w:ascii="Arial" w:hAnsi="Arial" w:cs="Arial"/>
          <w:b/>
          <w:bCs/>
          <w:color w:val="C00000"/>
        </w:rPr>
      </w:pPr>
    </w:p>
    <w:p w14:paraId="02F02F66" w14:textId="4A7FDC1F"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253B9E9" w14:textId="77777777" w:rsidR="00AE39FB" w:rsidRPr="00AE39FB" w:rsidRDefault="00AE39FB" w:rsidP="00AE39FB">
      <w:pPr>
        <w:pStyle w:val="ListParagraph"/>
        <w:numPr>
          <w:ilvl w:val="0"/>
          <w:numId w:val="18"/>
        </w:numPr>
        <w:shd w:val="clear" w:color="auto" w:fill="FFFFFF"/>
        <w:spacing w:after="0" w:line="276" w:lineRule="auto"/>
        <w:rPr>
          <w:rFonts w:ascii="Arial" w:hAnsi="Arial" w:cs="Arial"/>
        </w:rPr>
      </w:pPr>
      <w:r w:rsidRPr="00AE39FB">
        <w:rPr>
          <w:rFonts w:ascii="Arial" w:hAnsi="Arial" w:cs="Arial"/>
        </w:rPr>
        <w:t>ISO 22241-1</w:t>
      </w:r>
    </w:p>
    <w:p w14:paraId="51A28308" w14:textId="310FED59" w:rsidR="00C03CD0" w:rsidRDefault="00AE39FB" w:rsidP="00AE39FB">
      <w:pPr>
        <w:pStyle w:val="ListParagraph"/>
        <w:numPr>
          <w:ilvl w:val="0"/>
          <w:numId w:val="18"/>
        </w:numPr>
        <w:shd w:val="clear" w:color="auto" w:fill="FFFFFF"/>
        <w:spacing w:after="0" w:line="276" w:lineRule="auto"/>
        <w:rPr>
          <w:rFonts w:ascii="Arial" w:hAnsi="Arial" w:cs="Arial"/>
        </w:rPr>
      </w:pPr>
      <w:r w:rsidRPr="00AE39FB">
        <w:rPr>
          <w:rFonts w:ascii="Arial" w:hAnsi="Arial" w:cs="Arial"/>
        </w:rPr>
        <w:t>DIN 70070</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lastRenderedPageBreak/>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04490" w14:textId="77777777" w:rsidR="00E91D29" w:rsidRDefault="00E91D29" w:rsidP="00314087">
      <w:pPr>
        <w:spacing w:after="0" w:line="240" w:lineRule="auto"/>
      </w:pPr>
      <w:r>
        <w:separator/>
      </w:r>
    </w:p>
  </w:endnote>
  <w:endnote w:type="continuationSeparator" w:id="0">
    <w:p w14:paraId="170FECF8" w14:textId="77777777" w:rsidR="00E91D29" w:rsidRDefault="00E91D2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C779C" w14:textId="77777777" w:rsidR="00AA5052" w:rsidRDefault="00AA50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23E72" w14:textId="77777777" w:rsidR="00AA5052" w:rsidRDefault="00AA5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89FB5" w14:textId="77777777" w:rsidR="00E91D29" w:rsidRDefault="00E91D29" w:rsidP="00314087">
      <w:pPr>
        <w:spacing w:after="0" w:line="240" w:lineRule="auto"/>
      </w:pPr>
      <w:r>
        <w:separator/>
      </w:r>
    </w:p>
  </w:footnote>
  <w:footnote w:type="continuationSeparator" w:id="0">
    <w:p w14:paraId="54CCFFE7" w14:textId="77777777" w:rsidR="00E91D29" w:rsidRDefault="00E91D2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A6160" w14:textId="77777777" w:rsidR="00AA5052" w:rsidRDefault="00AA50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453955A"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AE39FB">
      <w:rPr>
        <w:rFonts w:ascii="Arial" w:eastAsia="Arial Unicode MS" w:hAnsi="Arial" w:cs="Arial"/>
        <w:color w:val="000000"/>
        <w:sz w:val="18"/>
        <w:szCs w:val="18"/>
      </w:rPr>
      <w:t>TF</w:t>
    </w:r>
    <w:r>
      <w:rPr>
        <w:rFonts w:ascii="Arial" w:eastAsia="Arial Unicode MS" w:hAnsi="Arial" w:cs="Arial"/>
        <w:color w:val="000000"/>
        <w:sz w:val="18"/>
        <w:szCs w:val="18"/>
      </w:rPr>
      <w:t>-P-00</w:t>
    </w:r>
    <w:r w:rsidR="00AE39FB">
      <w:rPr>
        <w:rFonts w:ascii="Arial" w:eastAsia="Arial Unicode MS" w:hAnsi="Arial" w:cs="Arial"/>
        <w:color w:val="000000"/>
        <w:sz w:val="18"/>
        <w:szCs w:val="18"/>
      </w:rPr>
      <w:t>01</w:t>
    </w:r>
    <w:r w:rsidR="00FC5F87">
      <w:rPr>
        <w:rFonts w:ascii="Arial" w:eastAsia="Arial Unicode MS" w:hAnsi="Arial" w:cs="Arial"/>
        <w:color w:val="000000"/>
        <w:sz w:val="18"/>
        <w:szCs w:val="18"/>
      </w:rPr>
      <w:t>/</w:t>
    </w:r>
    <w:r w:rsidR="00AA5052">
      <w:rPr>
        <w:rFonts w:ascii="Arial" w:eastAsia="Arial Unicode MS" w:hAnsi="Arial" w:cs="Arial"/>
        <w:color w:val="000000"/>
        <w:sz w:val="18"/>
        <w:szCs w:val="18"/>
      </w:rPr>
      <w:t>02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84F5D" w14:textId="77777777" w:rsidR="00AA5052" w:rsidRDefault="00AA50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355B2"/>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46EC5"/>
    <w:rsid w:val="002522B4"/>
    <w:rsid w:val="0025772C"/>
    <w:rsid w:val="002578B0"/>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14AA6"/>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2FDC"/>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7437"/>
    <w:rsid w:val="00A842BE"/>
    <w:rsid w:val="00A9192B"/>
    <w:rsid w:val="00AA5052"/>
    <w:rsid w:val="00AB1381"/>
    <w:rsid w:val="00AC29EB"/>
    <w:rsid w:val="00AC4A12"/>
    <w:rsid w:val="00AD073A"/>
    <w:rsid w:val="00AD5438"/>
    <w:rsid w:val="00AE39FB"/>
    <w:rsid w:val="00AF62B9"/>
    <w:rsid w:val="00B03CCD"/>
    <w:rsid w:val="00B077E9"/>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C0C"/>
    <w:rsid w:val="00DC3B05"/>
    <w:rsid w:val="00DF189E"/>
    <w:rsid w:val="00E01236"/>
    <w:rsid w:val="00E170C7"/>
    <w:rsid w:val="00E174A0"/>
    <w:rsid w:val="00E22716"/>
    <w:rsid w:val="00E37435"/>
    <w:rsid w:val="00E459EE"/>
    <w:rsid w:val="00E7775D"/>
    <w:rsid w:val="00E81120"/>
    <w:rsid w:val="00E83531"/>
    <w:rsid w:val="00E91D29"/>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357E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80631231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2023-09-05T11:29:00Z</dcterms:created>
  <dcterms:modified xsi:type="dcterms:W3CDTF">2023-09-05T11:29:00Z</dcterms:modified>
</cp:coreProperties>
</file>