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Antifreeze Ready Mix</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Antifreeze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Antifreeze Ready Mix is a ready-to-use, inorganic (IAT - Inorganic Acid Technology) silicate solution designed for year-round use in modern cooling systems that include copper, brass, and aluminum components, and where the use of ethylene-glycol-based antifreeze is recommended</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Antifreeze Ready Mix</w:t>
      </w:r>
      <w:r w:rsidDel="00000000" w:rsidR="00000000" w:rsidRPr="00000000">
        <w:rPr>
          <w:rFonts w:ascii="Arial" w:cs="Arial" w:eastAsia="Arial" w:hAnsi="Arial"/>
          <w:color w:val="000000"/>
          <w:rtl w:val="0"/>
        </w:rPr>
        <w:t xml:space="preserve"> is designed to protect internal combustion engines from freezing, overheating and corrosion. Suitable for cars, trucks, buses, all-terrain vehicles, stationary engines and more.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Reliably protects metals and alloys from corrosion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Prevents deposits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Offers excellent heat conductivity and foam resistance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Compatible with cooling system components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Appearance </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Visual</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Clear, homogenous liquid</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15.5 °C</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 </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Initial Crystallization Point</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1177</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Boiling Point</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1120</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pH</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1287</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r>
      <w:tr>
        <w:trPr>
          <w:cantSplit w:val="0"/>
          <w:trHeight w:val="397" w:hRule="atLeast"/>
          <w:tblHeader w:val="0"/>
        </w:trPr>
        <w:tc>
          <w:tcPr>
            <w:vMerge w:val="restart"/>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Foaming Properties</w:t>
            </w:r>
          </w:p>
        </w:tc>
        <w:tc>
          <w:tcPr>
            <w:vMerge w:val="restart"/>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w:t>
            </w:r>
          </w:p>
        </w:tc>
        <w:tc>
          <w:tcPr>
            <w:vMerge w:val="restart"/>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892</w:t>
            </w:r>
          </w:p>
        </w:tc>
        <w:tc>
          <w:tcPr>
            <w:vMerge w:val="restart"/>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397" w:hRule="atLeast"/>
          <w:tblHeader w:val="0"/>
        </w:trPr>
        <w:tc>
          <w:tcPr>
            <w:vMerge w:val="continue"/>
            <w:vAlign w:val="center"/>
          </w:tcPr>
          <w:p w:rsidR="00000000" w:rsidDel="00000000" w:rsidP="00000000" w:rsidRDefault="00000000" w:rsidRPr="00000000" w14:paraId="0000003F">
            <w:pPr>
              <w:spacing w:after="0" w:before="0" w:line="240" w:lineRule="auto"/>
              <w:ind w:left="0" w:firstLine="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40">
            <w:pPr>
              <w:spacing w:after="0" w:before="0" w:line="240" w:lineRule="auto"/>
              <w:ind w:left="0" w:firstLine="0"/>
              <w:jc w:val="center"/>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41">
            <w:pPr>
              <w:spacing w:after="0" w:before="0" w:line="240" w:lineRule="auto"/>
              <w:ind w:left="0" w:firstLine="0"/>
              <w:jc w:val="center"/>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42">
            <w:pPr>
              <w:spacing w:after="0" w:before="0" w:line="240" w:lineRule="auto"/>
              <w:ind w:left="0" w:firstLine="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- 324 NF</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- 325.0</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 MTL 5048</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 TL 774-C</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AFNOR - NF R 15-601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 D3306</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 D4985</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- 6580</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 STANDARD - PN-C-40007</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 J1034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ASTM - D3306</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BS - 6580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AL/AF-P-0001/01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TUDdlfMyqJe3zsB27G0oD4KLw==">CgMxLjAyCGguZ2pkZ3hzOAByITF0STNTZ3VLSl81NXhaSXdSRks5MFF0SEJGUXN1Zmx5dA==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2023-09-04T06:33:00Z</dcterms:created>
  <dc:creator>Gismat Abbasov</dc:creator>
</cp:coreProperties>
</file>