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Antifreeze Concentrate </w:t>
      </w:r>
    </w:p>
    <w:p w:rsidR="00000000" w:rsidDel="00000000" w:rsidP="00000000" w:rsidRDefault="00000000" w:rsidRPr="00000000" w14:paraId="00000005">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Antifreeze </w:t>
      </w:r>
      <w:r w:rsidDel="00000000" w:rsidR="00000000" w:rsidRPr="00000000">
        <w:rPr>
          <w:rtl w:val="0"/>
        </w:rPr>
      </w:r>
    </w:p>
    <w:p w:rsidR="00000000" w:rsidDel="00000000" w:rsidP="00000000" w:rsidRDefault="00000000" w:rsidRPr="00000000" w14:paraId="0000000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8">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Antifreeze Concentrate is a ready-to-use, inorganic (IAT - Inorganic Acid Technology) silicate solution designed for year-round use in modern cooling systems that include copper, brass, and aluminum components, and where the use of ethylene-glycol-based antifreeze is recommended</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bookmarkStart w:colFirst="0" w:colLast="0" w:name="_heading=h.gjdgxs" w:id="0"/>
      <w:bookmarkEnd w:id="0"/>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B">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Antifreeze Concentrate can be used only  after a dilution with diluted water. It is designed to protect internal combustion engines from freezing, overheating and corrosion. Suitable for cars, trucks, buses, all-terrain vehicles, stationary engines and more. </w:t>
      </w:r>
    </w:p>
    <w:p w:rsidR="00000000" w:rsidDel="00000000" w:rsidP="00000000" w:rsidRDefault="00000000" w:rsidRPr="00000000" w14:paraId="0000000C">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Reliably protects metals and alloys from corrosion</w:t>
      </w:r>
    </w:p>
    <w:p w:rsidR="00000000" w:rsidDel="00000000" w:rsidP="00000000" w:rsidRDefault="00000000" w:rsidRPr="00000000" w14:paraId="00000010">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Prevents deposits</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Offers excellent heat conductivity and foam resistance</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Compatible with cooling system components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sz w:val="14"/>
          <w:szCs w:val="1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sz w:val="12"/>
          <w:szCs w:val="12"/>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2">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3">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20"/>
                <w:szCs w:val="20"/>
                <w:rtl w:val="0"/>
              </w:rPr>
              <w:t xml:space="preserve">Appearance </w:t>
            </w:r>
          </w:p>
        </w:tc>
        <w:tc>
          <w:tcPr>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Visual</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Clear, homogenous liquid</w:t>
            </w:r>
          </w:p>
        </w:tc>
      </w:tr>
      <w:tr>
        <w:trPr>
          <w:cantSplit w:val="0"/>
          <w:trHeight w:val="397" w:hRule="atLeast"/>
          <w:tblHeader w:val="0"/>
        </w:trPr>
        <w:tc>
          <w:tcPr>
            <w:vAlign w:val="center"/>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15.5 °C</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 </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1.12</w:t>
            </w:r>
          </w:p>
        </w:tc>
      </w:tr>
      <w:tr>
        <w:trPr>
          <w:cantSplit w:val="0"/>
          <w:trHeight w:val="397" w:hRule="atLeast"/>
          <w:tblHeader w:val="0"/>
        </w:trPr>
        <w:tc>
          <w:tcPr>
            <w:vAlign w:val="center"/>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Boiling Point</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°C</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1120</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120</w:t>
            </w:r>
          </w:p>
        </w:tc>
      </w:tr>
      <w:tr>
        <w:trPr>
          <w:cantSplit w:val="0"/>
          <w:trHeight w:val="397" w:hRule="atLeast"/>
          <w:tblHeader w:val="0"/>
        </w:trPr>
        <w:tc>
          <w:tcPr>
            <w:vAlign w:val="center"/>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pH</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1287</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8.0</w:t>
            </w:r>
          </w:p>
        </w:tc>
      </w:tr>
      <w:tr>
        <w:trPr>
          <w:cantSplit w:val="0"/>
          <w:trHeight w:val="397" w:hRule="atLeast"/>
          <w:tblHeader w:val="0"/>
        </w:trPr>
        <w:tc>
          <w:tcPr>
            <w:vMerge w:val="restart"/>
            <w:vAlign w:val="center"/>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Foaming Properties</w:t>
            </w:r>
          </w:p>
        </w:tc>
        <w:tc>
          <w:tcPr>
            <w:vMerge w:val="restart"/>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w:t>
            </w:r>
          </w:p>
        </w:tc>
        <w:tc>
          <w:tcPr>
            <w:vMerge w:val="restart"/>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892</w:t>
            </w:r>
          </w:p>
        </w:tc>
        <w:tc>
          <w:tcPr>
            <w:vMerge w:val="restart"/>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r>
      <w:tr>
        <w:trPr>
          <w:cantSplit w:val="0"/>
          <w:trHeight w:val="165" w:hRule="atLeast"/>
          <w:tblHeader w:val="0"/>
        </w:trPr>
        <w:tc>
          <w:tcPr>
            <w:vMerge w:val="continue"/>
            <w:vAlign w:val="center"/>
          </w:tcPr>
          <w:p w:rsidR="00000000" w:rsidDel="00000000" w:rsidP="00000000" w:rsidRDefault="00000000" w:rsidRPr="00000000" w14:paraId="0000003C">
            <w:pPr>
              <w:rPr>
                <w:rFonts w:ascii="Arial" w:cs="Arial" w:eastAsia="Arial" w:hAnsi="Arial"/>
                <w:sz w:val="20"/>
                <w:szCs w:val="20"/>
              </w:rPr>
            </w:pPr>
            <w:r w:rsidDel="00000000" w:rsidR="00000000" w:rsidRPr="00000000">
              <w:rPr>
                <w:rtl w:val="0"/>
              </w:rPr>
            </w:r>
          </w:p>
        </w:tc>
        <w:tc>
          <w:tcPr>
            <w:vMerge w:val="continue"/>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tl w:val="0"/>
              </w:rPr>
            </w:r>
          </w:p>
        </w:tc>
        <w:tc>
          <w:tcPr>
            <w:vMerge w:val="continue"/>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tl w:val="0"/>
              </w:rPr>
            </w:r>
          </w:p>
        </w:tc>
        <w:tc>
          <w:tcPr>
            <w:vMerge w:val="continue"/>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tl w:val="0"/>
              </w:rPr>
            </w:r>
          </w:p>
        </w:tc>
      </w:tr>
      <w:tr>
        <w:trPr>
          <w:cantSplit w:val="0"/>
          <w:trHeight w:val="859.98046875" w:hRule="atLeast"/>
          <w:tblHeader w:val="0"/>
        </w:trPr>
        <w:tc>
          <w:tcPr>
            <w:vAlign w:val="center"/>
          </w:tcPr>
          <w:p w:rsidR="00000000" w:rsidDel="00000000" w:rsidP="00000000" w:rsidRDefault="00000000" w:rsidRPr="00000000" w14:paraId="00000040">
            <w:pPr>
              <w:rPr>
                <w:rFonts w:ascii="Arial" w:cs="Arial" w:eastAsia="Arial" w:hAnsi="Arial"/>
                <w:sz w:val="20"/>
                <w:szCs w:val="20"/>
              </w:rPr>
            </w:pPr>
            <w:r w:rsidDel="00000000" w:rsidR="00000000" w:rsidRPr="00000000">
              <w:rPr>
                <w:rFonts w:ascii="Arial" w:cs="Arial" w:eastAsia="Arial" w:hAnsi="Arial"/>
                <w:sz w:val="20"/>
                <w:szCs w:val="20"/>
                <w:rtl w:val="0"/>
              </w:rPr>
              <w:t xml:space="preserve">Corrosion on Glassware</w:t>
            </w:r>
          </w:p>
          <w:p w:rsidR="00000000" w:rsidDel="00000000" w:rsidP="00000000" w:rsidRDefault="00000000" w:rsidRPr="00000000" w14:paraId="00000041">
            <w:pPr>
              <w:rPr>
                <w:rFonts w:ascii="Arial" w:cs="Arial" w:eastAsia="Arial" w:hAnsi="Arial"/>
                <w:sz w:val="20"/>
                <w:szCs w:val="20"/>
              </w:rPr>
            </w:pPr>
            <w:r w:rsidDel="00000000" w:rsidR="00000000" w:rsidRPr="00000000">
              <w:rPr>
                <w:rFonts w:ascii="Arial" w:cs="Arial" w:eastAsia="Arial" w:hAnsi="Arial"/>
                <w:sz w:val="20"/>
                <w:szCs w:val="20"/>
                <w:rtl w:val="0"/>
              </w:rPr>
              <w:t xml:space="preserve">- Copper</w:t>
            </w:r>
          </w:p>
          <w:p w:rsidR="00000000" w:rsidDel="00000000" w:rsidP="00000000" w:rsidRDefault="00000000" w:rsidRPr="00000000" w14:paraId="00000042">
            <w:pPr>
              <w:rPr>
                <w:rFonts w:ascii="Arial" w:cs="Arial" w:eastAsia="Arial" w:hAnsi="Arial"/>
                <w:sz w:val="20"/>
                <w:szCs w:val="20"/>
              </w:rPr>
            </w:pPr>
            <w:r w:rsidDel="00000000" w:rsidR="00000000" w:rsidRPr="00000000">
              <w:rPr>
                <w:rFonts w:ascii="Arial" w:cs="Arial" w:eastAsia="Arial" w:hAnsi="Arial"/>
                <w:sz w:val="20"/>
                <w:szCs w:val="20"/>
                <w:rtl w:val="0"/>
              </w:rPr>
              <w:t xml:space="preserve">- Solder</w:t>
            </w:r>
          </w:p>
          <w:p w:rsidR="00000000" w:rsidDel="00000000" w:rsidP="00000000" w:rsidRDefault="00000000" w:rsidRPr="00000000" w14:paraId="00000043">
            <w:pPr>
              <w:rPr>
                <w:rFonts w:ascii="Arial" w:cs="Arial" w:eastAsia="Arial" w:hAnsi="Arial"/>
                <w:sz w:val="20"/>
                <w:szCs w:val="20"/>
              </w:rPr>
            </w:pPr>
            <w:r w:rsidDel="00000000" w:rsidR="00000000" w:rsidRPr="00000000">
              <w:rPr>
                <w:rFonts w:ascii="Arial" w:cs="Arial" w:eastAsia="Arial" w:hAnsi="Arial"/>
                <w:sz w:val="20"/>
                <w:szCs w:val="20"/>
                <w:rtl w:val="0"/>
              </w:rPr>
              <w:t xml:space="preserve">- Brass</w:t>
            </w:r>
          </w:p>
          <w:p w:rsidR="00000000" w:rsidDel="00000000" w:rsidP="00000000" w:rsidRDefault="00000000" w:rsidRPr="00000000" w14:paraId="00000044">
            <w:pPr>
              <w:rPr>
                <w:rFonts w:ascii="Arial" w:cs="Arial" w:eastAsia="Arial" w:hAnsi="Arial"/>
                <w:sz w:val="20"/>
                <w:szCs w:val="20"/>
              </w:rPr>
            </w:pPr>
            <w:r w:rsidDel="00000000" w:rsidR="00000000" w:rsidRPr="00000000">
              <w:rPr>
                <w:rFonts w:ascii="Arial" w:cs="Arial" w:eastAsia="Arial" w:hAnsi="Arial"/>
                <w:sz w:val="20"/>
                <w:szCs w:val="20"/>
                <w:rtl w:val="0"/>
              </w:rPr>
              <w:t xml:space="preserve">- Steel</w:t>
            </w:r>
          </w:p>
          <w:p w:rsidR="00000000" w:rsidDel="00000000" w:rsidP="00000000" w:rsidRDefault="00000000" w:rsidRPr="00000000" w14:paraId="00000045">
            <w:pPr>
              <w:rPr>
                <w:rFonts w:ascii="Arial" w:cs="Arial" w:eastAsia="Arial" w:hAnsi="Arial"/>
                <w:sz w:val="20"/>
                <w:szCs w:val="20"/>
              </w:rPr>
            </w:pPr>
            <w:r w:rsidDel="00000000" w:rsidR="00000000" w:rsidRPr="00000000">
              <w:rPr>
                <w:rFonts w:ascii="Arial" w:cs="Arial" w:eastAsia="Arial" w:hAnsi="Arial"/>
                <w:sz w:val="20"/>
                <w:szCs w:val="20"/>
                <w:rtl w:val="0"/>
              </w:rPr>
              <w:t xml:space="preserve">- Cast Iron</w:t>
            </w:r>
          </w:p>
          <w:p w:rsidR="00000000" w:rsidDel="00000000" w:rsidP="00000000" w:rsidRDefault="00000000" w:rsidRPr="00000000" w14:paraId="00000046">
            <w:pPr>
              <w:rPr>
                <w:rFonts w:ascii="Arial" w:cs="Arial" w:eastAsia="Arial" w:hAnsi="Arial"/>
                <w:sz w:val="20"/>
                <w:szCs w:val="20"/>
              </w:rPr>
            </w:pPr>
            <w:r w:rsidDel="00000000" w:rsidR="00000000" w:rsidRPr="00000000">
              <w:rPr>
                <w:rFonts w:ascii="Arial" w:cs="Arial" w:eastAsia="Arial" w:hAnsi="Arial"/>
                <w:sz w:val="20"/>
                <w:szCs w:val="20"/>
                <w:rtl w:val="0"/>
              </w:rPr>
              <w:t xml:space="preserve">- Aluminium</w:t>
            </w:r>
          </w:p>
        </w:tc>
        <w:tc>
          <w:tcPr>
            <w:vAlign w:val="center"/>
          </w:tcPr>
          <w:p w:rsidR="00000000" w:rsidDel="00000000" w:rsidP="00000000" w:rsidRDefault="00000000" w:rsidRPr="00000000" w14:paraId="0000004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4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1384</w:t>
            </w:r>
          </w:p>
        </w:tc>
        <w:tc>
          <w:tcPr>
            <w:vAlign w:val="center"/>
          </w:tcPr>
          <w:p w:rsidR="00000000" w:rsidDel="00000000" w:rsidP="00000000" w:rsidRDefault="00000000" w:rsidRPr="00000000" w14:paraId="0000004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p w:rsidR="00000000" w:rsidDel="00000000" w:rsidP="00000000" w:rsidRDefault="00000000" w:rsidRPr="00000000" w14:paraId="0000004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p w:rsidR="00000000" w:rsidDel="00000000" w:rsidP="00000000" w:rsidRDefault="00000000" w:rsidRPr="00000000" w14:paraId="0000004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p w:rsidR="00000000" w:rsidDel="00000000" w:rsidP="00000000" w:rsidRDefault="00000000" w:rsidRPr="00000000" w14:paraId="0000004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p w:rsidR="00000000" w:rsidDel="00000000" w:rsidP="00000000" w:rsidRDefault="00000000" w:rsidRPr="00000000" w14:paraId="0000004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p w:rsidR="00000000" w:rsidDel="00000000" w:rsidP="00000000" w:rsidRDefault="00000000" w:rsidRPr="00000000" w14:paraId="0000004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1"/>
          <w:color w:val="c0000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50">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 G12</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 325.3</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324 Type SNF</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ASTM D 3306</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ASTM D 4656</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ASTM D-4985</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ASTM D 5345</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SAE J814C</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SAE J1038</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SAE J1941</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SAE J1034</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Ford WSS M97 B44-D</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E">
      <w:pPr>
        <w:numPr>
          <w:ilvl w:val="0"/>
          <w:numId w:val="2"/>
        </w:numPr>
        <w:shd w:fill="ffffff" w:val="clear"/>
        <w:spacing w:after="0" w:line="276" w:lineRule="auto"/>
        <w:ind w:left="360"/>
        <w:rPr>
          <w:rFonts w:ascii="Arial" w:cs="Arial" w:eastAsia="Arial" w:hAnsi="Arial"/>
          <w:b w:val="1"/>
          <w:color w:val="ff0000"/>
        </w:rPr>
      </w:pPr>
      <w:r w:rsidDel="00000000" w:rsidR="00000000" w:rsidRPr="00000000">
        <w:rPr>
          <w:rFonts w:ascii="Arial" w:cs="Arial" w:eastAsia="Arial" w:hAnsi="Arial"/>
          <w:b w:val="1"/>
          <w:color w:val="ff0000"/>
          <w:rtl w:val="0"/>
        </w:rPr>
        <w:t xml:space="preserve">ASTM - D3306</w:t>
      </w:r>
    </w:p>
    <w:p w:rsidR="00000000" w:rsidDel="00000000" w:rsidP="00000000" w:rsidRDefault="00000000" w:rsidRPr="00000000" w14:paraId="0000005F">
      <w:pPr>
        <w:numPr>
          <w:ilvl w:val="0"/>
          <w:numId w:val="2"/>
        </w:numPr>
        <w:shd w:fill="ffffff" w:val="clear"/>
        <w:spacing w:after="0" w:line="276" w:lineRule="auto"/>
        <w:ind w:left="360"/>
        <w:rPr>
          <w:rFonts w:ascii="Arial" w:cs="Arial" w:eastAsia="Arial" w:hAnsi="Arial"/>
          <w:b w:val="1"/>
          <w:color w:val="ff0000"/>
        </w:rPr>
      </w:pPr>
      <w:r w:rsidDel="00000000" w:rsidR="00000000" w:rsidRPr="00000000">
        <w:rPr>
          <w:rFonts w:ascii="Arial" w:cs="Arial" w:eastAsia="Arial" w:hAnsi="Arial"/>
          <w:b w:val="1"/>
          <w:color w:val="ff0000"/>
          <w:rtl w:val="0"/>
        </w:rPr>
        <w:t xml:space="preserve">BS - 6580</w:t>
      </w:r>
    </w:p>
    <w:p w:rsidR="00000000" w:rsidDel="00000000" w:rsidP="00000000" w:rsidRDefault="00000000" w:rsidRPr="00000000" w14:paraId="00000060">
      <w:pPr>
        <w:numPr>
          <w:ilvl w:val="0"/>
          <w:numId w:val="2"/>
        </w:numPr>
        <w:shd w:fill="ffffff" w:val="clear"/>
        <w:spacing w:after="0" w:line="276" w:lineRule="auto"/>
        <w:ind w:left="360"/>
        <w:rPr>
          <w:rFonts w:ascii="Arial" w:cs="Arial" w:eastAsia="Arial" w:hAnsi="Arial"/>
          <w:b w:val="1"/>
          <w:color w:val="ff0000"/>
          <w:u w:val="none"/>
        </w:rPr>
      </w:pPr>
      <w:r w:rsidDel="00000000" w:rsidR="00000000" w:rsidRPr="00000000">
        <w:rPr>
          <w:rFonts w:ascii="Arial" w:cs="Arial" w:eastAsia="Arial" w:hAnsi="Arial"/>
          <w:b w:val="1"/>
          <w:color w:val="ff0000"/>
          <w:rtl w:val="0"/>
        </w:rPr>
        <w:t xml:space="preserve">AFNOR R 15-601</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6">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67">
      <w:pPr>
        <w:shd w:fill="ffffff" w:val="clear"/>
        <w:spacing w:after="0" w:line="276" w:lineRule="auto"/>
        <w:rPr>
          <w:rFonts w:ascii="Arial" w:cs="Arial" w:eastAsia="Arial" w:hAnsi="Arial"/>
          <w:b w:val="1"/>
          <w:color w:val="c00000"/>
          <w:sz w:val="4"/>
          <w:szCs w:val="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headerReference r:id="rId8" w:type="default"/>
          <w:footerReference r:id="rId9" w:type="default"/>
          <w:pgSz w:h="15840" w:w="12240" w:orient="portrait"/>
          <w:pgMar w:bottom="1418" w:top="1440" w:left="1440" w:right="1440" w:header="708" w:footer="441"/>
          <w:pgNumType w:start="1"/>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7B">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4362450</wp:posOffset>
            </wp:positionH>
            <wp:positionV relativeFrom="paragraph">
              <wp:posOffset>116811</wp:posOffset>
            </wp:positionV>
            <wp:extent cx="1582427" cy="990600"/>
            <wp:effectExtent b="0" l="0" r="0" t="0"/>
            <wp:wrapNone/>
            <wp:docPr id="1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AL/AF-P-0002/01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8C2XhBMtnNRFFh4GAypFyRZ53Q==">CgMxLjAyCGguZ2pkZ3hzOAByITFCSTlBM2FYUVpic0hYcTNxcUh2R2dKcTlZQzNVQlFXMg==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2023-09-04T06:36:00Z</dcterms:created>
  <dc:creator>Gismat Abbasov</dc:creator>
</cp:coreProperties>
</file>