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Product Data Sheet</w:t>
      </w:r>
      <w:r w:rsidDel="00000000" w:rsidR="00000000" w:rsidRPr="00000000">
        <w:rPr>
          <w:rtl w:val="0"/>
        </w:rPr>
      </w:r>
    </w:p>
    <w:p w:rsidR="00000000" w:rsidDel="00000000" w:rsidP="00000000" w:rsidRDefault="00000000" w:rsidRPr="00000000" w14:paraId="00000003">
      <w:pPr>
        <w:shd w:fill="ffffff" w:val="clear"/>
        <w:spacing w:after="0" w:line="276" w:lineRule="auto"/>
        <w:jc w:val="both"/>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Aminol™ Classic CS2 SAE 40</w:t>
      </w:r>
    </w:p>
    <w:p w:rsidR="00000000" w:rsidDel="00000000" w:rsidP="00000000" w:rsidRDefault="00000000" w:rsidRPr="00000000" w14:paraId="00000004">
      <w:pPr>
        <w:shd w:fill="ffffff" w:val="clear"/>
        <w:spacing w:after="0" w:line="276" w:lineRule="auto"/>
        <w:jc w:val="both"/>
        <w:rPr>
          <w:rFonts w:ascii="Arial" w:cs="Arial" w:eastAsia="Arial" w:hAnsi="Arial"/>
        </w:rPr>
      </w:pPr>
      <w:r w:rsidDel="00000000" w:rsidR="00000000" w:rsidRPr="00000000">
        <w:rPr>
          <w:rFonts w:ascii="Arial" w:cs="Arial" w:eastAsia="Arial" w:hAnsi="Arial"/>
          <w:sz w:val="24"/>
          <w:szCs w:val="24"/>
          <w:rtl w:val="0"/>
        </w:rPr>
        <w:t xml:space="preserve">Engine oil</w:t>
      </w:r>
      <w:r w:rsidDel="00000000" w:rsidR="00000000" w:rsidRPr="00000000">
        <w:rPr>
          <w:rtl w:val="0"/>
        </w:rPr>
      </w:r>
    </w:p>
    <w:p w:rsidR="00000000" w:rsidDel="00000000" w:rsidP="00000000" w:rsidRDefault="00000000" w:rsidRPr="00000000" w14:paraId="00000005">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6">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7">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Product description</w:t>
      </w:r>
    </w:p>
    <w:p w:rsidR="00000000" w:rsidDel="00000000" w:rsidP="00000000" w:rsidRDefault="00000000" w:rsidRPr="00000000" w14:paraId="00000008">
      <w:pPr>
        <w:shd w:fill="ffffff" w:val="clea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Aminol™ Classic CS2 SAE 40 is a premium monograde mineral engine oil designed for robust performance in heavy-load diesel-powered engines, both those equipped with a turbocharger and those without, especially when operating under demanding and challenging conditions.</w:t>
      </w:r>
    </w:p>
    <w:p w:rsidR="00000000" w:rsidDel="00000000" w:rsidP="00000000" w:rsidRDefault="00000000" w:rsidRPr="00000000" w14:paraId="00000009">
      <w:pPr>
        <w:shd w:fill="ffffff" w:val="clear"/>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A">
      <w:pPr>
        <w:shd w:fill="ffffff" w:val="clear"/>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B">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Application</w:t>
      </w:r>
    </w:p>
    <w:p w:rsidR="00000000" w:rsidDel="00000000" w:rsidP="00000000" w:rsidRDefault="00000000" w:rsidRPr="00000000" w14:paraId="0000000C">
      <w:pPr>
        <w:shd w:fill="ffffff" w:val="clear"/>
        <w:spacing w:after="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Aminol Classic CS2 SAE 40 has been developed for use in trucks, buses, construction and agricultural equipment, petrol and diesel engines, light commercial vehicles, where the API CF-4 / SF performance levels are recommended by the manufacturer.  </w:t>
      </w:r>
    </w:p>
    <w:p w:rsidR="00000000" w:rsidDel="00000000" w:rsidP="00000000" w:rsidRDefault="00000000" w:rsidRPr="00000000" w14:paraId="0000000D">
      <w:pPr>
        <w:shd w:fill="ffffff" w:val="clear"/>
        <w:spacing w:after="0" w:line="276" w:lineRule="auto"/>
        <w:jc w:val="both"/>
        <w:rPr>
          <w:rFonts w:ascii="Arial" w:cs="Arial" w:eastAsia="Arial" w:hAnsi="Arial"/>
          <w:b w:val="1"/>
          <w:color w:val="c00000"/>
          <w:sz w:val="20"/>
          <w:szCs w:val="20"/>
        </w:rPr>
      </w:pPr>
      <w:r w:rsidDel="00000000" w:rsidR="00000000" w:rsidRPr="00000000">
        <w:rPr>
          <w:rtl w:val="0"/>
        </w:rPr>
      </w:r>
    </w:p>
    <w:p w:rsidR="00000000" w:rsidDel="00000000" w:rsidP="00000000" w:rsidRDefault="00000000" w:rsidRPr="00000000" w14:paraId="0000000E">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F">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Features &amp; Benefits</w:t>
      </w:r>
    </w:p>
    <w:p w:rsidR="00000000" w:rsidDel="00000000" w:rsidP="00000000" w:rsidRDefault="00000000" w:rsidRPr="00000000" w14:paraId="00000010">
      <w:pPr>
        <w:numPr>
          <w:ilvl w:val="0"/>
          <w:numId w:val="2"/>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Provides excellent oxidation stability and effective deposit control, ensuring consistent engine cleanliness and reliability.</w:t>
      </w:r>
    </w:p>
    <w:p w:rsidR="00000000" w:rsidDel="00000000" w:rsidP="00000000" w:rsidRDefault="00000000" w:rsidRPr="00000000" w14:paraId="00000011">
      <w:pPr>
        <w:numPr>
          <w:ilvl w:val="0"/>
          <w:numId w:val="2"/>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Engineered to minimize wear and extend maintenance intervals.</w:t>
      </w:r>
    </w:p>
    <w:p w:rsidR="00000000" w:rsidDel="00000000" w:rsidP="00000000" w:rsidRDefault="00000000" w:rsidRPr="00000000" w14:paraId="00000012">
      <w:pPr>
        <w:numPr>
          <w:ilvl w:val="0"/>
          <w:numId w:val="2"/>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Formulated to reduce oil consumption, thus managing costs effectively.</w:t>
      </w:r>
    </w:p>
    <w:p w:rsidR="00000000" w:rsidDel="00000000" w:rsidP="00000000" w:rsidRDefault="00000000" w:rsidRPr="00000000" w14:paraId="00000013">
      <w:pPr>
        <w:numPr>
          <w:ilvl w:val="0"/>
          <w:numId w:val="2"/>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Its superior detergency effectively manages piston ring deposits and controls sludge buildup.</w:t>
      </w:r>
    </w:p>
    <w:p w:rsidR="00000000" w:rsidDel="00000000" w:rsidP="00000000" w:rsidRDefault="00000000" w:rsidRPr="00000000" w14:paraId="00000014">
      <w:pPr>
        <w:shd w:fill="ffffff" w:val="clear"/>
        <w:spacing w:after="0" w:line="276" w:lineRule="auto"/>
        <w:ind w:left="360" w:firstLine="0"/>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15">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6">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7">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8">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9">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A">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B">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C">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D">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E">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F">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0">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1">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2">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3">
      <w:pPr>
        <w:shd w:fill="ffffff" w:val="clear"/>
        <w:spacing w:after="0" w:line="276" w:lineRule="auto"/>
        <w:rPr>
          <w:rFonts w:ascii="Arial" w:cs="Arial" w:eastAsia="Arial" w:hAnsi="Arial"/>
        </w:rPr>
      </w:pPr>
      <w:r w:rsidDel="00000000" w:rsidR="00000000" w:rsidRPr="00000000">
        <w:rPr>
          <w:rFonts w:ascii="Arial" w:cs="Arial" w:eastAsia="Arial" w:hAnsi="Arial"/>
          <w:b w:val="1"/>
          <w:color w:val="c00000"/>
          <w:rtl w:val="0"/>
        </w:rPr>
        <w:t xml:space="preserve">Typical Properties</w:t>
      </w:r>
      <w:r w:rsidDel="00000000" w:rsidR="00000000" w:rsidRPr="00000000">
        <w:rPr>
          <w:rtl w:val="0"/>
        </w:rPr>
      </w:r>
    </w:p>
    <w:p w:rsidR="00000000" w:rsidDel="00000000" w:rsidP="00000000" w:rsidRDefault="00000000" w:rsidRPr="00000000" w14:paraId="00000024">
      <w:pPr>
        <w:shd w:fill="ffffff" w:val="clear"/>
        <w:spacing w:after="0" w:line="276" w:lineRule="auto"/>
        <w:rPr>
          <w:rFonts w:ascii="Arial" w:cs="Arial" w:eastAsia="Arial" w:hAnsi="Arial"/>
          <w:b w:val="1"/>
          <w:color w:val="c00000"/>
        </w:rPr>
      </w:pPr>
      <w:r w:rsidDel="00000000" w:rsidR="00000000" w:rsidRPr="00000000">
        <w:rPr>
          <w:rtl w:val="0"/>
        </w:rPr>
      </w:r>
    </w:p>
    <w:tbl>
      <w:tblPr>
        <w:tblStyle w:val="Table1"/>
        <w:tblW w:w="9356.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9"/>
        <w:gridCol w:w="2079"/>
        <w:gridCol w:w="2079"/>
        <w:gridCol w:w="2079"/>
        <w:tblGridChange w:id="0">
          <w:tblGrid>
            <w:gridCol w:w="3119"/>
            <w:gridCol w:w="2079"/>
            <w:gridCol w:w="2079"/>
            <w:gridCol w:w="2079"/>
          </w:tblGrid>
        </w:tblGridChange>
      </w:tblGrid>
      <w:tr>
        <w:trPr>
          <w:cantSplit w:val="0"/>
          <w:trHeight w:val="397" w:hRule="atLeast"/>
          <w:tblHeader w:val="0"/>
        </w:trPr>
        <w:tc>
          <w:tcPr>
            <w:shd w:fill="f2f2f2" w:val="clear"/>
            <w:vAlign w:val="center"/>
          </w:tcPr>
          <w:p w:rsidR="00000000" w:rsidDel="00000000" w:rsidP="00000000" w:rsidRDefault="00000000" w:rsidRPr="00000000" w14:paraId="00000025">
            <w:pPr>
              <w:spacing w:after="0" w:line="240" w:lineRule="auto"/>
              <w:ind w:left="67"/>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Property</w:t>
            </w:r>
          </w:p>
        </w:tc>
        <w:tc>
          <w:tcPr>
            <w:shd w:fill="f2f2f2" w:val="clear"/>
            <w:vAlign w:val="center"/>
          </w:tcPr>
          <w:p w:rsidR="00000000" w:rsidDel="00000000" w:rsidP="00000000" w:rsidRDefault="00000000" w:rsidRPr="00000000" w14:paraId="00000026">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Unit</w:t>
            </w:r>
          </w:p>
        </w:tc>
        <w:tc>
          <w:tcPr>
            <w:shd w:fill="f2f2f2" w:val="clear"/>
            <w:vAlign w:val="center"/>
          </w:tcPr>
          <w:p w:rsidR="00000000" w:rsidDel="00000000" w:rsidP="00000000" w:rsidRDefault="00000000" w:rsidRPr="00000000" w14:paraId="00000027">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Test method</w:t>
            </w:r>
          </w:p>
        </w:tc>
        <w:tc>
          <w:tcPr>
            <w:shd w:fill="f2f2f2" w:val="clear"/>
            <w:vAlign w:val="center"/>
          </w:tcPr>
          <w:p w:rsidR="00000000" w:rsidDel="00000000" w:rsidP="00000000" w:rsidRDefault="00000000" w:rsidRPr="00000000" w14:paraId="00000028">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Typical value</w:t>
            </w:r>
          </w:p>
        </w:tc>
      </w:tr>
      <w:tr>
        <w:trPr>
          <w:cantSplit w:val="0"/>
          <w:trHeight w:val="397" w:hRule="atLeast"/>
          <w:tblHeader w:val="0"/>
        </w:trPr>
        <w:tc>
          <w:tcPr>
            <w:vAlign w:val="center"/>
          </w:tcPr>
          <w:p w:rsidR="00000000" w:rsidDel="00000000" w:rsidP="00000000" w:rsidRDefault="00000000" w:rsidRPr="00000000" w14:paraId="00000029">
            <w:pPr>
              <w:spacing w:after="0" w:line="240" w:lineRule="auto"/>
              <w:rPr>
                <w:rFonts w:ascii="Arial" w:cs="Arial" w:eastAsia="Arial" w:hAnsi="Arial"/>
                <w:sz w:val="24"/>
                <w:szCs w:val="24"/>
              </w:rPr>
            </w:pPr>
            <w:r w:rsidDel="00000000" w:rsidR="00000000" w:rsidRPr="00000000">
              <w:rPr>
                <w:rFonts w:ascii="Arial" w:cs="Arial" w:eastAsia="Arial" w:hAnsi="Arial"/>
                <w:sz w:val="20"/>
                <w:szCs w:val="20"/>
                <w:rtl w:val="0"/>
              </w:rPr>
              <w:t xml:space="preserve">Kinematic Viscosity at 100℃</w:t>
            </w:r>
            <w:r w:rsidDel="00000000" w:rsidR="00000000" w:rsidRPr="00000000">
              <w:rPr>
                <w:rtl w:val="0"/>
              </w:rPr>
            </w:r>
          </w:p>
        </w:tc>
        <w:tc>
          <w:tcPr>
            <w:vAlign w:val="center"/>
          </w:tcPr>
          <w:p w:rsidR="00000000" w:rsidDel="00000000" w:rsidP="00000000" w:rsidRDefault="00000000" w:rsidRPr="00000000" w14:paraId="0000002A">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cst</w:t>
            </w:r>
          </w:p>
        </w:tc>
        <w:tc>
          <w:tcPr>
            <w:vAlign w:val="center"/>
          </w:tcPr>
          <w:p w:rsidR="00000000" w:rsidDel="00000000" w:rsidP="00000000" w:rsidRDefault="00000000" w:rsidRPr="00000000" w14:paraId="0000002B">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445</w:t>
            </w:r>
          </w:p>
        </w:tc>
        <w:tc>
          <w:tcPr>
            <w:vAlign w:val="center"/>
          </w:tcPr>
          <w:p w:rsidR="00000000" w:rsidDel="00000000" w:rsidP="00000000" w:rsidRDefault="00000000" w:rsidRPr="00000000" w14:paraId="0000002C">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14.5</w:t>
            </w:r>
          </w:p>
        </w:tc>
      </w:tr>
      <w:tr>
        <w:trPr>
          <w:cantSplit w:val="0"/>
          <w:trHeight w:val="397" w:hRule="atLeast"/>
          <w:tblHeader w:val="0"/>
        </w:trPr>
        <w:tc>
          <w:tcPr>
            <w:vAlign w:val="center"/>
          </w:tcPr>
          <w:p w:rsidR="00000000" w:rsidDel="00000000" w:rsidP="00000000" w:rsidRDefault="00000000" w:rsidRPr="00000000" w14:paraId="0000002D">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Viscosity Index</w:t>
            </w:r>
          </w:p>
        </w:tc>
        <w:tc>
          <w:tcPr>
            <w:vAlign w:val="center"/>
          </w:tcPr>
          <w:p w:rsidR="00000000" w:rsidDel="00000000" w:rsidP="00000000" w:rsidRDefault="00000000" w:rsidRPr="00000000" w14:paraId="0000002E">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2F">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2270</w:t>
            </w:r>
          </w:p>
        </w:tc>
        <w:tc>
          <w:tcPr>
            <w:vAlign w:val="center"/>
          </w:tcPr>
          <w:p w:rsidR="00000000" w:rsidDel="00000000" w:rsidP="00000000" w:rsidRDefault="00000000" w:rsidRPr="00000000" w14:paraId="00000030">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95</w:t>
            </w:r>
          </w:p>
        </w:tc>
      </w:tr>
      <w:tr>
        <w:trPr>
          <w:cantSplit w:val="0"/>
          <w:trHeight w:val="397" w:hRule="atLeast"/>
          <w:tblHeader w:val="0"/>
        </w:trPr>
        <w:tc>
          <w:tcPr>
            <w:vAlign w:val="center"/>
          </w:tcPr>
          <w:p w:rsidR="00000000" w:rsidDel="00000000" w:rsidP="00000000" w:rsidRDefault="00000000" w:rsidRPr="00000000" w14:paraId="00000031">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Flash Point, COC</w:t>
            </w:r>
          </w:p>
        </w:tc>
        <w:tc>
          <w:tcPr>
            <w:vAlign w:val="center"/>
          </w:tcPr>
          <w:p w:rsidR="00000000" w:rsidDel="00000000" w:rsidP="00000000" w:rsidRDefault="00000000" w:rsidRPr="00000000" w14:paraId="00000032">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3">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92</w:t>
            </w:r>
          </w:p>
        </w:tc>
        <w:tc>
          <w:tcPr>
            <w:vAlign w:val="center"/>
          </w:tcPr>
          <w:p w:rsidR="00000000" w:rsidDel="00000000" w:rsidP="00000000" w:rsidRDefault="00000000" w:rsidRPr="00000000" w14:paraId="00000034">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246</w:t>
            </w:r>
          </w:p>
        </w:tc>
      </w:tr>
      <w:tr>
        <w:trPr>
          <w:cantSplit w:val="0"/>
          <w:trHeight w:val="397" w:hRule="atLeast"/>
          <w:tblHeader w:val="0"/>
        </w:trPr>
        <w:tc>
          <w:tcPr>
            <w:vAlign w:val="center"/>
          </w:tcPr>
          <w:p w:rsidR="00000000" w:rsidDel="00000000" w:rsidP="00000000" w:rsidRDefault="00000000" w:rsidRPr="00000000" w14:paraId="00000035">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Pour Point </w:t>
            </w:r>
          </w:p>
        </w:tc>
        <w:tc>
          <w:tcPr>
            <w:vAlign w:val="center"/>
          </w:tcPr>
          <w:p w:rsidR="00000000" w:rsidDel="00000000" w:rsidP="00000000" w:rsidRDefault="00000000" w:rsidRPr="00000000" w14:paraId="00000036">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7">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97</w:t>
            </w:r>
          </w:p>
        </w:tc>
        <w:tc>
          <w:tcPr>
            <w:vAlign w:val="center"/>
          </w:tcPr>
          <w:p w:rsidR="00000000" w:rsidDel="00000000" w:rsidP="00000000" w:rsidRDefault="00000000" w:rsidRPr="00000000" w14:paraId="00000038">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-21</w:t>
            </w:r>
          </w:p>
        </w:tc>
      </w:tr>
      <w:tr>
        <w:trPr>
          <w:cantSplit w:val="0"/>
          <w:trHeight w:val="397" w:hRule="atLeast"/>
          <w:tblHeader w:val="0"/>
        </w:trPr>
        <w:tc>
          <w:tcPr>
            <w:vAlign w:val="center"/>
          </w:tcPr>
          <w:p w:rsidR="00000000" w:rsidDel="00000000" w:rsidP="00000000" w:rsidRDefault="00000000" w:rsidRPr="00000000" w14:paraId="00000039">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TBN</w:t>
            </w:r>
          </w:p>
        </w:tc>
        <w:tc>
          <w:tcPr>
            <w:vAlign w:val="center"/>
          </w:tcPr>
          <w:p w:rsidR="00000000" w:rsidDel="00000000" w:rsidP="00000000" w:rsidRDefault="00000000" w:rsidRPr="00000000" w14:paraId="0000003A">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mg KOH/g</w:t>
            </w:r>
          </w:p>
        </w:tc>
        <w:tc>
          <w:tcPr>
            <w:vAlign w:val="center"/>
          </w:tcPr>
          <w:p w:rsidR="00000000" w:rsidDel="00000000" w:rsidP="00000000" w:rsidRDefault="00000000" w:rsidRPr="00000000" w14:paraId="0000003B">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2896</w:t>
            </w:r>
          </w:p>
        </w:tc>
        <w:tc>
          <w:tcPr>
            <w:vAlign w:val="center"/>
          </w:tcPr>
          <w:p w:rsidR="00000000" w:rsidDel="00000000" w:rsidP="00000000" w:rsidRDefault="00000000" w:rsidRPr="00000000" w14:paraId="0000003C">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6.0</w:t>
            </w:r>
          </w:p>
        </w:tc>
      </w:tr>
      <w:tr>
        <w:trPr>
          <w:cantSplit w:val="0"/>
          <w:trHeight w:val="397" w:hRule="atLeast"/>
          <w:tblHeader w:val="0"/>
        </w:trPr>
        <w:tc>
          <w:tcPr>
            <w:vAlign w:val="center"/>
          </w:tcPr>
          <w:p w:rsidR="00000000" w:rsidDel="00000000" w:rsidP="00000000" w:rsidRDefault="00000000" w:rsidRPr="00000000" w14:paraId="0000003D">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Sulphated Ash Content</w:t>
            </w:r>
          </w:p>
        </w:tc>
        <w:tc>
          <w:tcPr>
            <w:vAlign w:val="center"/>
          </w:tcPr>
          <w:p w:rsidR="00000000" w:rsidDel="00000000" w:rsidP="00000000" w:rsidRDefault="00000000" w:rsidRPr="00000000" w14:paraId="0000003E">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F">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874</w:t>
            </w:r>
          </w:p>
        </w:tc>
        <w:tc>
          <w:tcPr>
            <w:vAlign w:val="center"/>
          </w:tcPr>
          <w:p w:rsidR="00000000" w:rsidDel="00000000" w:rsidP="00000000" w:rsidRDefault="00000000" w:rsidRPr="00000000" w14:paraId="00000040">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0.95</w:t>
            </w:r>
          </w:p>
        </w:tc>
      </w:tr>
      <w:tr>
        <w:trPr>
          <w:cantSplit w:val="0"/>
          <w:trHeight w:val="397" w:hRule="atLeast"/>
          <w:tblHeader w:val="0"/>
        </w:trPr>
        <w:tc>
          <w:tcPr>
            <w:vAlign w:val="center"/>
          </w:tcPr>
          <w:p w:rsidR="00000000" w:rsidDel="00000000" w:rsidP="00000000" w:rsidRDefault="00000000" w:rsidRPr="00000000" w14:paraId="00000041">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Density at 20℃</w:t>
            </w:r>
          </w:p>
        </w:tc>
        <w:tc>
          <w:tcPr>
            <w:vAlign w:val="center"/>
          </w:tcPr>
          <w:p w:rsidR="00000000" w:rsidDel="00000000" w:rsidP="00000000" w:rsidRDefault="00000000" w:rsidRPr="00000000" w14:paraId="00000042">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g/ml</w:t>
            </w:r>
          </w:p>
        </w:tc>
        <w:tc>
          <w:tcPr>
            <w:vAlign w:val="center"/>
          </w:tcPr>
          <w:p w:rsidR="00000000" w:rsidDel="00000000" w:rsidP="00000000" w:rsidRDefault="00000000" w:rsidRPr="00000000" w14:paraId="00000043">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4052</w:t>
            </w:r>
          </w:p>
        </w:tc>
        <w:tc>
          <w:tcPr>
            <w:vAlign w:val="center"/>
          </w:tcPr>
          <w:p w:rsidR="00000000" w:rsidDel="00000000" w:rsidP="00000000" w:rsidRDefault="00000000" w:rsidRPr="00000000" w14:paraId="00000044">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0.892</w:t>
            </w:r>
          </w:p>
        </w:tc>
      </w:tr>
    </w:tbl>
    <w:p w:rsidR="00000000" w:rsidDel="00000000" w:rsidP="00000000" w:rsidRDefault="00000000" w:rsidRPr="00000000" w14:paraId="00000045">
      <w:pPr>
        <w:shd w:fill="ffffff" w:val="clear"/>
        <w:spacing w:after="280" w:before="28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Typical property characteristics are based on current production. Whilst future production will conform to Aminol</w:t>
      </w:r>
      <w:r w:rsidDel="00000000" w:rsidR="00000000" w:rsidRPr="00000000">
        <w:rPr>
          <w:rFonts w:ascii="Arial" w:cs="Arial" w:eastAsia="Arial" w:hAnsi="Arial"/>
          <w:color w:val="212121"/>
          <w:sz w:val="20"/>
          <w:szCs w:val="20"/>
          <w:highlight w:val="white"/>
          <w:vertAlign w:val="superscript"/>
          <w:rtl w:val="0"/>
        </w:rPr>
        <w:t xml:space="preserve">™</w:t>
      </w:r>
      <w:r w:rsidDel="00000000" w:rsidR="00000000" w:rsidRPr="00000000">
        <w:rPr>
          <w:rFonts w:ascii="Arial" w:cs="Arial" w:eastAsia="Arial" w:hAnsi="Arial"/>
          <w:sz w:val="18"/>
          <w:szCs w:val="18"/>
          <w:vertAlign w:val="superscript"/>
          <w:rtl w:val="0"/>
        </w:rPr>
        <w:t xml:space="preserve"> </w:t>
      </w:r>
      <w:r w:rsidDel="00000000" w:rsidR="00000000" w:rsidRPr="00000000">
        <w:rPr>
          <w:rFonts w:ascii="Arial" w:cs="Arial" w:eastAsia="Arial" w:hAnsi="Arial"/>
          <w:sz w:val="20"/>
          <w:szCs w:val="20"/>
          <w:rtl w:val="0"/>
        </w:rPr>
        <w:t xml:space="preserve">specifications, variations in these characteristics may occur.</w:t>
      </w:r>
    </w:p>
    <w:p w:rsidR="00000000" w:rsidDel="00000000" w:rsidP="00000000" w:rsidRDefault="00000000" w:rsidRPr="00000000" w14:paraId="00000046">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Performance claims </w:t>
      </w:r>
    </w:p>
    <w:p w:rsidR="00000000" w:rsidDel="00000000" w:rsidP="00000000" w:rsidRDefault="00000000" w:rsidRPr="00000000" w14:paraId="00000047">
      <w:pPr>
        <w:numPr>
          <w:ilvl w:val="0"/>
          <w:numId w:val="4"/>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ACEA E2</w:t>
      </w:r>
    </w:p>
    <w:p w:rsidR="00000000" w:rsidDel="00000000" w:rsidP="00000000" w:rsidRDefault="00000000" w:rsidRPr="00000000" w14:paraId="00000048">
      <w:pPr>
        <w:numPr>
          <w:ilvl w:val="0"/>
          <w:numId w:val="4"/>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Allison C4</w:t>
      </w:r>
    </w:p>
    <w:p w:rsidR="00000000" w:rsidDel="00000000" w:rsidP="00000000" w:rsidRDefault="00000000" w:rsidRPr="00000000" w14:paraId="00000049">
      <w:pPr>
        <w:numPr>
          <w:ilvl w:val="0"/>
          <w:numId w:val="4"/>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Caterpillar TO-2</w:t>
      </w:r>
    </w:p>
    <w:p w:rsidR="00000000" w:rsidDel="00000000" w:rsidP="00000000" w:rsidRDefault="00000000" w:rsidRPr="00000000" w14:paraId="0000004A">
      <w:pPr>
        <w:numPr>
          <w:ilvl w:val="0"/>
          <w:numId w:val="4"/>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MAN 270</w:t>
      </w:r>
    </w:p>
    <w:p w:rsidR="00000000" w:rsidDel="00000000" w:rsidP="00000000" w:rsidRDefault="00000000" w:rsidRPr="00000000" w14:paraId="0000004B">
      <w:pPr>
        <w:numPr>
          <w:ilvl w:val="0"/>
          <w:numId w:val="4"/>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MB-228.0</w:t>
      </w:r>
    </w:p>
    <w:p w:rsidR="00000000" w:rsidDel="00000000" w:rsidP="00000000" w:rsidRDefault="00000000" w:rsidRPr="00000000" w14:paraId="0000004C">
      <w:pPr>
        <w:numPr>
          <w:ilvl w:val="0"/>
          <w:numId w:val="4"/>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MTU Type 1</w:t>
      </w:r>
    </w:p>
    <w:p w:rsidR="00000000" w:rsidDel="00000000" w:rsidP="00000000" w:rsidRDefault="00000000" w:rsidRPr="00000000" w14:paraId="0000004D">
      <w:pPr>
        <w:numPr>
          <w:ilvl w:val="0"/>
          <w:numId w:val="4"/>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MIL L-2104 L</w:t>
      </w:r>
    </w:p>
    <w:p w:rsidR="00000000" w:rsidDel="00000000" w:rsidP="00000000" w:rsidRDefault="00000000" w:rsidRPr="00000000" w14:paraId="0000004E">
      <w:pPr>
        <w:numPr>
          <w:ilvl w:val="0"/>
          <w:numId w:val="4"/>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MIL L-46152 L </w:t>
      </w:r>
    </w:p>
    <w:p w:rsidR="00000000" w:rsidDel="00000000" w:rsidP="00000000" w:rsidRDefault="00000000" w:rsidRPr="00000000" w14:paraId="0000004F">
      <w:pPr>
        <w:numPr>
          <w:ilvl w:val="0"/>
          <w:numId w:val="4"/>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ZF - TE-ML 03A</w:t>
      </w:r>
    </w:p>
    <w:p w:rsidR="00000000" w:rsidDel="00000000" w:rsidP="00000000" w:rsidRDefault="00000000" w:rsidRPr="00000000" w14:paraId="00000050">
      <w:pPr>
        <w:numPr>
          <w:ilvl w:val="0"/>
          <w:numId w:val="4"/>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ZF - TE-ML 04A</w:t>
      </w:r>
    </w:p>
    <w:p w:rsidR="00000000" w:rsidDel="00000000" w:rsidP="00000000" w:rsidRDefault="00000000" w:rsidRPr="00000000" w14:paraId="00000051">
      <w:pPr>
        <w:numPr>
          <w:ilvl w:val="0"/>
          <w:numId w:val="4"/>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ZF - TE-ML 04B</w:t>
      </w:r>
    </w:p>
    <w:p w:rsidR="00000000" w:rsidDel="00000000" w:rsidP="00000000" w:rsidRDefault="00000000" w:rsidRPr="00000000" w14:paraId="00000052">
      <w:pPr>
        <w:numPr>
          <w:ilvl w:val="0"/>
          <w:numId w:val="4"/>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ZF - TE-ML 07D</w:t>
      </w:r>
    </w:p>
    <w:p w:rsidR="00000000" w:rsidDel="00000000" w:rsidP="00000000" w:rsidRDefault="00000000" w:rsidRPr="00000000" w14:paraId="00000053">
      <w:pPr>
        <w:shd w:fill="ffffff" w:val="clear"/>
        <w:spacing w:after="0" w:line="276" w:lineRule="auto"/>
        <w:ind w:left="360" w:firstLine="0"/>
        <w:rPr>
          <w:rFonts w:ascii="Arial" w:cs="Arial" w:eastAsia="Arial" w:hAnsi="Arial"/>
        </w:rPr>
      </w:pPr>
      <w:r w:rsidDel="00000000" w:rsidR="00000000" w:rsidRPr="00000000">
        <w:rPr>
          <w:rtl w:val="0"/>
        </w:rPr>
      </w:r>
    </w:p>
    <w:p w:rsidR="00000000" w:rsidDel="00000000" w:rsidP="00000000" w:rsidRDefault="00000000" w:rsidRPr="00000000" w14:paraId="00000054">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b w:val="1"/>
          <w:color w:val="ff0000"/>
          <w:rtl w:val="0"/>
        </w:rPr>
        <w:t xml:space="preserve">API CF-4/SF</w:t>
      </w:r>
      <w:r w:rsidDel="00000000" w:rsidR="00000000" w:rsidRPr="00000000">
        <w:rPr>
          <w:rtl w:val="0"/>
        </w:rPr>
      </w:r>
    </w:p>
    <w:p w:rsidR="00000000" w:rsidDel="00000000" w:rsidP="00000000" w:rsidRDefault="00000000" w:rsidRPr="00000000" w14:paraId="00000055">
      <w:pPr>
        <w:shd w:fill="ffffff" w:val="clear"/>
        <w:spacing w:after="0" w:line="276" w:lineRule="auto"/>
        <w:ind w:left="360" w:firstLine="0"/>
        <w:rPr>
          <w:rFonts w:ascii="Arial" w:cs="Arial" w:eastAsia="Arial" w:hAnsi="Arial"/>
        </w:rPr>
      </w:pPr>
      <w:r w:rsidDel="00000000" w:rsidR="00000000" w:rsidRPr="00000000">
        <w:rPr>
          <w:rtl w:val="0"/>
        </w:rPr>
      </w:r>
    </w:p>
    <w:p w:rsidR="00000000" w:rsidDel="00000000" w:rsidP="00000000" w:rsidRDefault="00000000" w:rsidRPr="00000000" w14:paraId="00000056">
      <w:pPr>
        <w:shd w:fill="ffffff" w:val="clear"/>
        <w:spacing w:after="0" w:line="276"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Health, Safety &amp; Environment</w:t>
      </w:r>
    </w:p>
    <w:p w:rsidR="00000000" w:rsidDel="00000000" w:rsidP="00000000" w:rsidRDefault="00000000" w:rsidRPr="00000000" w14:paraId="00000057">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8">
      <w:pPr>
        <w:numPr>
          <w:ilvl w:val="0"/>
          <w:numId w:val="3"/>
        </w:numPr>
        <w:shd w:fill="ffffff" w:val="clear"/>
        <w:spacing w:after="0" w:line="360" w:lineRule="auto"/>
        <w:ind w:left="426" w:hanging="36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Health and Safety </w:t>
      </w:r>
    </w:p>
    <w:p w:rsidR="00000000" w:rsidDel="00000000" w:rsidP="00000000" w:rsidRDefault="00000000" w:rsidRPr="00000000" w14:paraId="00000059">
      <w:pPr>
        <w:shd w:fill="ffffff" w:val="clear"/>
        <w:spacing w:after="0" w:line="276" w:lineRule="auto"/>
        <w:ind w:left="426"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product is unlikely to present any significant health or safety hazard when properly used in the recommended application, and good standards of industrial and personal hygiene are maintained. </w:t>
      </w:r>
    </w:p>
    <w:p w:rsidR="00000000" w:rsidDel="00000000" w:rsidP="00000000" w:rsidRDefault="00000000" w:rsidRPr="00000000" w14:paraId="0000005A">
      <w:pPr>
        <w:shd w:fill="ffffff" w:val="clear"/>
        <w:spacing w:after="0" w:line="276" w:lineRule="auto"/>
        <w:ind w:left="426"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B">
      <w:pPr>
        <w:shd w:fill="ffffff" w:val="clear"/>
        <w:spacing w:after="0" w:line="276" w:lineRule="auto"/>
        <w:ind w:left="426" w:firstLine="0"/>
        <w:jc w:val="both"/>
        <w:rPr>
          <w:rFonts w:ascii="Arial" w:cs="Arial" w:eastAsia="Arial" w:hAnsi="Arial"/>
          <w:color w:val="0070c0"/>
          <w:sz w:val="20"/>
          <w:szCs w:val="20"/>
          <w:u w:val="single"/>
        </w:rPr>
      </w:pPr>
      <w:r w:rsidDel="00000000" w:rsidR="00000000" w:rsidRPr="00000000">
        <w:rPr>
          <w:rFonts w:ascii="Arial" w:cs="Arial" w:eastAsia="Arial" w:hAnsi="Arial"/>
          <w:sz w:val="20"/>
          <w:szCs w:val="20"/>
          <w:rtl w:val="0"/>
        </w:rPr>
        <w:t xml:space="preserve">For further guidance on Product Health &amp; Safety refer to the appropriate Safety Data Sheet which can be obtained upon request or through our website: </w:t>
      </w:r>
      <w:hyperlink r:id="rId7">
        <w:r w:rsidDel="00000000" w:rsidR="00000000" w:rsidRPr="00000000">
          <w:rPr>
            <w:rFonts w:ascii="Arial" w:cs="Arial" w:eastAsia="Arial" w:hAnsi="Arial"/>
            <w:color w:val="0563c1"/>
            <w:sz w:val="20"/>
            <w:szCs w:val="20"/>
            <w:u w:val="single"/>
            <w:rtl w:val="0"/>
          </w:rPr>
          <w:t xml:space="preserve">www.aminol.az</w:t>
        </w:r>
      </w:hyperlink>
      <w:r w:rsidDel="00000000" w:rsidR="00000000" w:rsidRPr="00000000">
        <w:rPr>
          <w:rtl w:val="0"/>
        </w:rPr>
      </w:r>
    </w:p>
    <w:p w:rsidR="00000000" w:rsidDel="00000000" w:rsidP="00000000" w:rsidRDefault="00000000" w:rsidRPr="00000000" w14:paraId="0000005C">
      <w:pPr>
        <w:shd w:fill="ffffff" w:val="clear"/>
        <w:spacing w:after="0" w:line="276" w:lineRule="auto"/>
        <w:ind w:left="426"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5D">
      <w:pPr>
        <w:numPr>
          <w:ilvl w:val="0"/>
          <w:numId w:val="3"/>
        </w:numPr>
        <w:spacing w:after="0" w:line="360" w:lineRule="auto"/>
        <w:ind w:left="426" w:hanging="36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Protect the Environment </w:t>
      </w:r>
    </w:p>
    <w:p w:rsidR="00000000" w:rsidDel="00000000" w:rsidP="00000000" w:rsidRDefault="00000000" w:rsidRPr="00000000" w14:paraId="0000005E">
      <w:pPr>
        <w:spacing w:after="0" w:line="360" w:lineRule="auto"/>
        <w:ind w:left="426" w:firstLine="0"/>
        <w:jc w:val="both"/>
        <w:rPr>
          <w:rFonts w:ascii="Arial" w:cs="Arial" w:eastAsia="Arial" w:hAnsi="Arial"/>
          <w:b w:val="1"/>
          <w:sz w:val="20"/>
          <w:szCs w:val="20"/>
        </w:rPr>
      </w:pPr>
      <w:r w:rsidDel="00000000" w:rsidR="00000000" w:rsidRPr="00000000">
        <w:rPr>
          <w:rFonts w:ascii="Arial" w:cs="Arial" w:eastAsia="Arial" w:hAnsi="Arial"/>
          <w:sz w:val="20"/>
          <w:szCs w:val="20"/>
          <w:rtl w:val="0"/>
        </w:rPr>
        <w:t xml:space="preserve">Take used oil to an authorized collection point. Do not discharge into drains, soil or water.</w:t>
      </w:r>
      <w:r w:rsidDel="00000000" w:rsidR="00000000" w:rsidRPr="00000000">
        <w:rPr>
          <w:rtl w:val="0"/>
        </w:rPr>
      </w:r>
    </w:p>
    <w:p w:rsidR="00000000" w:rsidDel="00000000" w:rsidP="00000000" w:rsidRDefault="00000000" w:rsidRPr="00000000" w14:paraId="0000005F">
      <w:pPr>
        <w:shd w:fill="ffffff" w:val="clear"/>
        <w:spacing w:line="24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60">
      <w:pPr>
        <w:shd w:fill="ffffff" w:val="clear"/>
        <w:spacing w:line="240" w:lineRule="auto"/>
        <w:rPr>
          <w:rFonts w:ascii="Arial" w:cs="Arial" w:eastAsia="Arial" w:hAnsi="Arial"/>
          <w:b w:val="1"/>
          <w:color w:val="c00000"/>
        </w:rPr>
        <w:sectPr>
          <w:headerReference r:id="rId8" w:type="default"/>
          <w:headerReference r:id="rId9" w:type="first"/>
          <w:headerReference r:id="rId10" w:type="even"/>
          <w:footerReference r:id="rId11" w:type="default"/>
          <w:footerReference r:id="rId12" w:type="first"/>
          <w:footerReference r:id="rId13" w:type="even"/>
          <w:pgSz w:h="15840" w:w="12240" w:orient="portrait"/>
          <w:pgMar w:bottom="1418" w:top="1440" w:left="1440" w:right="1440" w:header="708" w:footer="441"/>
          <w:pgNumType w:start="1"/>
        </w:sectPr>
      </w:pPr>
      <w:r w:rsidDel="00000000" w:rsidR="00000000" w:rsidRPr="00000000">
        <w:rPr>
          <w:rFonts w:ascii="Arial" w:cs="Arial" w:eastAsia="Arial" w:hAnsi="Arial"/>
          <w:b w:val="1"/>
          <w:color w:val="c00000"/>
          <w:rtl w:val="0"/>
        </w:rPr>
        <w:t xml:space="preserve">Available pack sizes</w:t>
      </w:r>
    </w:p>
    <w:p w:rsidR="00000000" w:rsidDel="00000000" w:rsidP="00000000" w:rsidRDefault="00000000" w:rsidRPr="00000000" w14:paraId="00000061">
      <w:pPr>
        <w:numPr>
          <w:ilvl w:val="0"/>
          <w:numId w:val="3"/>
        </w:numPr>
        <w:spacing w:after="0" w:line="276" w:lineRule="auto"/>
        <w:ind w:left="426"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1 L Canister plastic</w:t>
      </w:r>
    </w:p>
    <w:p w:rsidR="00000000" w:rsidDel="00000000" w:rsidP="00000000" w:rsidRDefault="00000000" w:rsidRPr="00000000" w14:paraId="00000062">
      <w:pPr>
        <w:numPr>
          <w:ilvl w:val="0"/>
          <w:numId w:val="3"/>
        </w:numPr>
        <w:spacing w:after="0" w:line="276" w:lineRule="auto"/>
        <w:ind w:left="426"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4 L Canister plastic</w:t>
      </w:r>
    </w:p>
    <w:p w:rsidR="00000000" w:rsidDel="00000000" w:rsidP="00000000" w:rsidRDefault="00000000" w:rsidRPr="00000000" w14:paraId="00000063">
      <w:pPr>
        <w:numPr>
          <w:ilvl w:val="0"/>
          <w:numId w:val="3"/>
        </w:numPr>
        <w:spacing w:after="0" w:line="276" w:lineRule="auto"/>
        <w:ind w:left="426"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5 L Canister plastic</w:t>
      </w:r>
    </w:p>
    <w:p w:rsidR="00000000" w:rsidDel="00000000" w:rsidP="00000000" w:rsidRDefault="00000000" w:rsidRPr="00000000" w14:paraId="00000064">
      <w:pPr>
        <w:numPr>
          <w:ilvl w:val="0"/>
          <w:numId w:val="3"/>
        </w:numPr>
        <w:spacing w:after="0" w:line="276" w:lineRule="auto"/>
        <w:ind w:left="426"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7 L Canister plastic</w:t>
      </w:r>
    </w:p>
    <w:p w:rsidR="00000000" w:rsidDel="00000000" w:rsidP="00000000" w:rsidRDefault="00000000" w:rsidRPr="00000000" w14:paraId="00000065">
      <w:pPr>
        <w:numPr>
          <w:ilvl w:val="0"/>
          <w:numId w:val="3"/>
        </w:numPr>
        <w:spacing w:after="0" w:line="276" w:lineRule="auto"/>
        <w:ind w:left="426"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20 L Canister plastic</w:t>
      </w:r>
    </w:p>
    <w:p w:rsidR="00000000" w:rsidDel="00000000" w:rsidP="00000000" w:rsidRDefault="00000000" w:rsidRPr="00000000" w14:paraId="00000066">
      <w:pPr>
        <w:numPr>
          <w:ilvl w:val="0"/>
          <w:numId w:val="3"/>
        </w:numPr>
        <w:spacing w:after="0" w:line="276" w:lineRule="auto"/>
        <w:ind w:left="426"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30 L Canister plastic</w:t>
      </w:r>
    </w:p>
    <w:p w:rsidR="00000000" w:rsidDel="00000000" w:rsidP="00000000" w:rsidRDefault="00000000" w:rsidRPr="00000000" w14:paraId="00000067">
      <w:pPr>
        <w:numPr>
          <w:ilvl w:val="0"/>
          <w:numId w:val="3"/>
        </w:numPr>
        <w:spacing w:after="0" w:line="276" w:lineRule="auto"/>
        <w:ind w:left="426"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200 L Drum sheet metal</w:t>
      </w:r>
    </w:p>
    <w:p w:rsidR="00000000" w:rsidDel="00000000" w:rsidP="00000000" w:rsidRDefault="00000000" w:rsidRPr="00000000" w14:paraId="00000068">
      <w:pPr>
        <w:numPr>
          <w:ilvl w:val="0"/>
          <w:numId w:val="3"/>
        </w:numPr>
        <w:spacing w:line="276" w:lineRule="auto"/>
        <w:ind w:left="426" w:hanging="360"/>
        <w:rPr>
          <w:rFonts w:ascii="Arial" w:cs="Arial" w:eastAsia="Arial" w:hAnsi="Arial"/>
          <w:sz w:val="20"/>
          <w:szCs w:val="20"/>
        </w:rPr>
        <w:sectPr>
          <w:type w:val="continuous"/>
          <w:pgSz w:h="15840" w:w="12240" w:orient="portrait"/>
          <w:pgMar w:bottom="1418" w:top="1440" w:left="1440" w:right="1440" w:header="708" w:footer="441"/>
          <w:cols w:equalWidth="0" w:num="2">
            <w:col w:space="708" w:w="4326"/>
            <w:col w:space="0" w:w="4326"/>
          </w:cols>
        </w:sectPr>
      </w:pPr>
      <w:r w:rsidDel="00000000" w:rsidR="00000000" w:rsidRPr="00000000">
        <w:rPr>
          <w:rFonts w:ascii="Arial" w:cs="Arial" w:eastAsia="Arial" w:hAnsi="Arial"/>
          <w:sz w:val="20"/>
          <w:szCs w:val="20"/>
          <w:rtl w:val="0"/>
        </w:rPr>
        <w:t xml:space="preserve">1000 L Container</w:t>
      </w:r>
    </w:p>
    <w:p w:rsidR="00000000" w:rsidDel="00000000" w:rsidP="00000000" w:rsidRDefault="00000000" w:rsidRPr="00000000" w14:paraId="00000069">
      <w:pPr>
        <w:shd w:fill="ffffff" w:val="clear"/>
        <w:spacing w:after="0" w:line="24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6A">
      <w:pPr>
        <w:shd w:fill="ffffff" w:val="clear"/>
        <w:spacing w:after="0" w:line="24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Storage</w:t>
      </w:r>
    </w:p>
    <w:p w:rsidR="00000000" w:rsidDel="00000000" w:rsidP="00000000" w:rsidRDefault="00000000" w:rsidRPr="00000000" w14:paraId="0000006B">
      <w:pPr>
        <w:shd w:fill="ffffff" w:val="clear"/>
        <w:spacing w:after="0" w:line="24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6C">
      <w:pPr>
        <w:numPr>
          <w:ilvl w:val="0"/>
          <w:numId w:val="3"/>
        </w:numPr>
        <w:spacing w:after="0" w:line="276" w:lineRule="auto"/>
        <w:ind w:left="426"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We recommend to store all packages under cover. </w:t>
      </w:r>
    </w:p>
    <w:p w:rsidR="00000000" w:rsidDel="00000000" w:rsidP="00000000" w:rsidRDefault="00000000" w:rsidRPr="00000000" w14:paraId="0000006D">
      <w:pPr>
        <w:numPr>
          <w:ilvl w:val="0"/>
          <w:numId w:val="3"/>
        </w:numPr>
        <w:spacing w:after="0" w:line="276" w:lineRule="auto"/>
        <w:ind w:left="426" w:hanging="360"/>
        <w:jc w:val="both"/>
        <w:rPr>
          <w:rFonts w:ascii="Arial" w:cs="Arial" w:eastAsia="Arial" w:hAnsi="Arial"/>
          <w:sz w:val="18"/>
          <w:szCs w:val="18"/>
        </w:rPr>
      </w:pPr>
      <w:r w:rsidDel="00000000" w:rsidR="00000000" w:rsidRPr="00000000">
        <w:rPr>
          <w:rFonts w:ascii="Arial" w:cs="Arial" w:eastAsia="Arial" w:hAnsi="Arial"/>
          <w:sz w:val="20"/>
          <w:szCs w:val="20"/>
          <w:rtl w:val="0"/>
        </w:rPr>
        <w:t xml:space="preserve">Where outside storage is unavoidable drums should be laid horizontally to avoid the possible ingress of water and damage to drum markings.</w:t>
      </w:r>
      <w:r w:rsidDel="00000000" w:rsidR="00000000" w:rsidRPr="00000000">
        <w:rPr>
          <w:rFonts w:ascii="Arial" w:cs="Arial" w:eastAsia="Arial" w:hAnsi="Arial"/>
          <w:sz w:val="18"/>
          <w:szCs w:val="18"/>
          <w:rtl w:val="0"/>
        </w:rPr>
        <w:t xml:space="preserve"> </w:t>
      </w:r>
    </w:p>
    <w:p w:rsidR="00000000" w:rsidDel="00000000" w:rsidP="00000000" w:rsidRDefault="00000000" w:rsidRPr="00000000" w14:paraId="0000006E">
      <w:pPr>
        <w:numPr>
          <w:ilvl w:val="0"/>
          <w:numId w:val="3"/>
        </w:numPr>
        <w:spacing w:after="0" w:line="276" w:lineRule="auto"/>
        <w:ind w:left="426"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Products should not be stored above 60 °C, exposed to hot sun or freezing conditions.</w:t>
      </w:r>
    </w:p>
    <w:p w:rsidR="00000000" w:rsidDel="00000000" w:rsidP="00000000" w:rsidRDefault="00000000" w:rsidRPr="00000000" w14:paraId="0000006F">
      <w:pPr>
        <w:spacing w:line="276" w:lineRule="auto"/>
        <w:ind w:left="426"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0">
      <w:pPr>
        <w:jc w:val="both"/>
        <w:rPr>
          <w:rFonts w:ascii="Arial" w:cs="Arial" w:eastAsia="Arial" w:hAnsi="Arial"/>
          <w:color w:val="c00000"/>
        </w:rPr>
      </w:pPr>
      <w:r w:rsidDel="00000000" w:rsidR="00000000" w:rsidRPr="00000000">
        <w:rPr>
          <w:rFonts w:ascii="Arial" w:cs="Arial" w:eastAsia="Arial" w:hAnsi="Arial"/>
          <w:b w:val="1"/>
          <w:color w:val="c00000"/>
          <w:rtl w:val="0"/>
        </w:rPr>
        <w:t xml:space="preserve">Notes</w:t>
      </w:r>
      <w:r w:rsidDel="00000000" w:rsidR="00000000" w:rsidRPr="00000000">
        <w:rPr>
          <w:rtl w:val="0"/>
        </w:rPr>
      </w:r>
    </w:p>
    <w:p w:rsidR="00000000" w:rsidDel="00000000" w:rsidP="00000000" w:rsidRDefault="00000000" w:rsidRPr="00000000" w14:paraId="00000071">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data sheet and the information it contains is believed to be accurate as of the date of printing. However, no warranty or representation, express or implied, is made as to its accuracy or completeness. Data provided is based on standard tests under laboratory conditions and is given as a guide only. Users are advised to ensure that they refer to the latest version of this data sheet. It is the responsibility of the user to 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sales specialists if you require any further information.</w:t>
      </w:r>
    </w:p>
    <w:p w:rsidR="00000000" w:rsidDel="00000000" w:rsidP="00000000" w:rsidRDefault="00000000" w:rsidRPr="00000000" w14:paraId="00000072">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3">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4">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5">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4361173</wp:posOffset>
            </wp:positionH>
            <wp:positionV relativeFrom="paragraph">
              <wp:posOffset>37465</wp:posOffset>
            </wp:positionV>
            <wp:extent cx="1582427" cy="990600"/>
            <wp:effectExtent b="0" l="0" r="0" t="0"/>
            <wp:wrapNone/>
            <wp:docPr id="19"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1582427" cy="990600"/>
                    </a:xfrm>
                    <a:prstGeom prst="rect"/>
                    <a:ln/>
                  </pic:spPr>
                </pic:pic>
              </a:graphicData>
            </a:graphic>
          </wp:anchor>
        </w:drawing>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2016-2022 | All rights reserved </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logos and trademarks used herein are properties owned by ALCO LLC.</w:t>
      </w:r>
    </w:p>
    <w:sectPr>
      <w:type w:val="continuous"/>
      <w:pgSz w:h="15840" w:w="12240" w:orient="portrait"/>
      <w:pgMar w:bottom="1418" w:top="1440" w:left="1440" w:right="1440" w:header="708" w:footer="44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ALCO LLC</w:t>
    </w:r>
    <w:r w:rsidDel="00000000" w:rsidR="00000000" w:rsidRPr="00000000">
      <w:drawing>
        <wp:anchor allowOverlap="1" behindDoc="0" distB="0" distT="0" distL="114300" distR="114300" hidden="0" layoutInCell="1" locked="0" relativeHeight="0" simplePos="0">
          <wp:simplePos x="0" y="0"/>
          <wp:positionH relativeFrom="column">
            <wp:posOffset>866775</wp:posOffset>
          </wp:positionH>
          <wp:positionV relativeFrom="paragraph">
            <wp:posOffset>140335</wp:posOffset>
          </wp:positionV>
          <wp:extent cx="133350" cy="133350"/>
          <wp:effectExtent b="0" l="0" r="0" t="0"/>
          <wp:wrapNone/>
          <wp:docPr descr="Marker" id="18" name="image2.png"/>
          <a:graphic>
            <a:graphicData uri="http://schemas.openxmlformats.org/drawingml/2006/picture">
              <pic:pic>
                <pic:nvPicPr>
                  <pic:cNvPr descr="Marker" id="0" name="image2.png"/>
                  <pic:cNvPicPr preferRelativeResize="0"/>
                </pic:nvPicPr>
                <pic:blipFill>
                  <a:blip r:embed="rId1"/>
                  <a:srcRect b="0" l="0" r="0" t="0"/>
                  <a:stretch>
                    <a:fillRect/>
                  </a:stretch>
                </pic:blipFill>
                <pic:spPr>
                  <a:xfrm>
                    <a:off x="0" y="0"/>
                    <a:ext cx="133350" cy="133350"/>
                  </a:xfrm>
                  <a:prstGeom prst="rect"/>
                  <a:ln/>
                </pic:spPr>
              </pic:pic>
            </a:graphicData>
          </a:graphic>
        </wp:anchor>
      </w:drawing>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Address: 3, Vali Mammadov st., Sabail dist., Baku, Azerbaijan, AZ1095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-38099</wp:posOffset>
          </wp:positionH>
          <wp:positionV relativeFrom="paragraph">
            <wp:posOffset>147320</wp:posOffset>
          </wp:positionV>
          <wp:extent cx="114300" cy="114300"/>
          <wp:effectExtent b="0" l="0" r="0" t="0"/>
          <wp:wrapNone/>
          <wp:docPr descr="Open envelope" id="21" name="image3.png"/>
          <a:graphic>
            <a:graphicData uri="http://schemas.openxmlformats.org/drawingml/2006/picture">
              <pic:pic>
                <pic:nvPicPr>
                  <pic:cNvPr descr="Open envelope" id="0" name="image3.png"/>
                  <pic:cNvPicPr preferRelativeResize="0"/>
                </pic:nvPicPr>
                <pic:blipFill>
                  <a:blip r:embed="rId2"/>
                  <a:srcRect b="0" l="0" r="0" t="0"/>
                  <a:stretch>
                    <a:fillRect/>
                  </a:stretch>
                </pic:blipFill>
                <pic:spPr>
                  <a:xfrm>
                    <a:off x="0" y="0"/>
                    <a:ext cx="114300" cy="114300"/>
                  </a:xfrm>
                  <a:prstGeom prst="rect"/>
                  <a:ln/>
                </pic:spPr>
              </pic:pic>
            </a:graphicData>
          </a:graphic>
        </wp:anchor>
      </w:drawing>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Email: info@aminol.az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4003003</wp:posOffset>
          </wp:positionH>
          <wp:positionV relativeFrom="paragraph">
            <wp:posOffset>4445</wp:posOffset>
          </wp:positionV>
          <wp:extent cx="1940597" cy="752475"/>
          <wp:effectExtent b="0" l="0" r="0" t="0"/>
          <wp:wrapNone/>
          <wp:docPr id="20"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1940597" cy="752475"/>
                  </a:xfrm>
                  <a:prstGeom prst="rect"/>
                  <a:ln/>
                </pic:spPr>
              </pic:pic>
            </a:graphicData>
          </a:graphic>
        </wp:anchor>
      </w:drawing>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Form No.: 002-EN</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Issue date:15.12.2022</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269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PDS No.: AL/EO-P-0041/02</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455531"/>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455531"/>
    <w:pPr>
      <w:ind w:left="720"/>
      <w:contextualSpacing w:val="1"/>
    </w:pPr>
  </w:style>
  <w:style w:type="table" w:styleId="TableGrid">
    <w:name w:val="Table Grid"/>
    <w:basedOn w:val="TableNormal"/>
    <w:uiPriority w:val="1"/>
    <w:rsid w:val="006A5F1C"/>
    <w:pPr>
      <w:spacing w:after="0" w:line="240" w:lineRule="auto"/>
    </w:pPr>
    <w:rPr>
      <w:rFonts w:eastAsiaTheme="minorEastAsia"/>
      <w:lang w:eastAsia="ja-JP"/>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Header">
    <w:name w:val="header"/>
    <w:basedOn w:val="Normal"/>
    <w:link w:val="HeaderChar"/>
    <w:uiPriority w:val="99"/>
    <w:unhideWhenUsed w:val="1"/>
    <w:rsid w:val="00314087"/>
    <w:pPr>
      <w:tabs>
        <w:tab w:val="center" w:pos="4680"/>
        <w:tab w:val="right" w:pos="9360"/>
      </w:tabs>
      <w:spacing w:after="0" w:line="240" w:lineRule="auto"/>
    </w:pPr>
  </w:style>
  <w:style w:type="character" w:styleId="HeaderChar" w:customStyle="1">
    <w:name w:val="Header Char"/>
    <w:basedOn w:val="DefaultParagraphFont"/>
    <w:link w:val="Header"/>
    <w:uiPriority w:val="99"/>
    <w:rsid w:val="00314087"/>
  </w:style>
  <w:style w:type="paragraph" w:styleId="Footer">
    <w:name w:val="footer"/>
    <w:basedOn w:val="Normal"/>
    <w:link w:val="FooterChar"/>
    <w:uiPriority w:val="99"/>
    <w:unhideWhenUsed w:val="1"/>
    <w:rsid w:val="00314087"/>
    <w:pPr>
      <w:tabs>
        <w:tab w:val="center" w:pos="4680"/>
        <w:tab w:val="right" w:pos="9360"/>
      </w:tabs>
      <w:spacing w:after="0" w:line="240" w:lineRule="auto"/>
    </w:pPr>
  </w:style>
  <w:style w:type="character" w:styleId="FooterChar" w:customStyle="1">
    <w:name w:val="Footer Char"/>
    <w:basedOn w:val="DefaultParagraphFont"/>
    <w:link w:val="Footer"/>
    <w:uiPriority w:val="99"/>
    <w:rsid w:val="00314087"/>
  </w:style>
  <w:style w:type="table" w:styleId="TableNormal1" w:customStyle="1">
    <w:name w:val="Table Normal1"/>
    <w:uiPriority w:val="2"/>
    <w:semiHidden w:val="1"/>
    <w:unhideWhenUsed w:val="1"/>
    <w:qFormat w:val="1"/>
    <w:rsid w:val="0079046D"/>
    <w:pPr>
      <w:widowControl w:val="0"/>
      <w:autoSpaceDE w:val="0"/>
      <w:autoSpaceDN w:val="0"/>
      <w:spacing w:after="0" w:line="240" w:lineRule="auto"/>
    </w:pPr>
    <w:tblPr>
      <w:tblInd w:w="0.0" w:type="dxa"/>
      <w:tblCellMar>
        <w:top w:w="0.0" w:type="dxa"/>
        <w:left w:w="0.0" w:type="dxa"/>
        <w:bottom w:w="0.0" w:type="dxa"/>
        <w:right w:w="0.0" w:type="dxa"/>
      </w:tblCellMar>
    </w:tblPr>
  </w:style>
  <w:style w:type="paragraph" w:styleId="TableParagraph" w:customStyle="1">
    <w:name w:val="Table Paragraph"/>
    <w:basedOn w:val="Normal"/>
    <w:uiPriority w:val="1"/>
    <w:qFormat w:val="1"/>
    <w:rsid w:val="0079046D"/>
    <w:pPr>
      <w:widowControl w:val="0"/>
      <w:autoSpaceDE w:val="0"/>
      <w:autoSpaceDN w:val="0"/>
      <w:spacing w:after="0" w:line="240" w:lineRule="auto"/>
    </w:pPr>
    <w:rPr>
      <w:rFonts w:ascii="Verdana" w:cs="Verdana" w:eastAsia="Verdana" w:hAnsi="Verdana"/>
    </w:rPr>
  </w:style>
  <w:style w:type="character" w:styleId="Hyperlink">
    <w:name w:val="Hyperlink"/>
    <w:basedOn w:val="DefaultParagraphFont"/>
    <w:uiPriority w:val="99"/>
    <w:unhideWhenUsed w:val="1"/>
    <w:rsid w:val="00714220"/>
    <w:rPr>
      <w:color w:val="0563c1" w:themeColor="hyperlink"/>
      <w:u w:val="single"/>
    </w:rPr>
  </w:style>
  <w:style w:type="character" w:styleId="UnresolvedMention1" w:customStyle="1">
    <w:name w:val="Unresolved Mention1"/>
    <w:basedOn w:val="DefaultParagraphFont"/>
    <w:uiPriority w:val="99"/>
    <w:semiHidden w:val="1"/>
    <w:unhideWhenUsed w:val="1"/>
    <w:rsid w:val="00714220"/>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aminol.az"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lZ3AH/ukOJSCYVUYh/fZKbNKe9Q==">CgMxLjA4AHIhMWhBTHp6djJPQk9ERVk5VWM4bElJN2dLV2pCMGx4b0Nm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2023-08-31T12:27:00Z</dcterms:created>
  <dc:creator>Gismat Abbasov</dc:creator>
</cp:coreProperties>
</file>