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Classic CS2 SAE 40</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CS2 SAE 40 is a premium monograde mineral engine oil designed for robust performance in heavy-load diesel-powered engines, both those equipped with a turbocharger and those without, especially when operating under demanding and challenging conditions.</w:t>
      </w:r>
    </w:p>
    <w:p w:rsidR="00000000" w:rsidDel="00000000" w:rsidP="00000000" w:rsidRDefault="00000000" w:rsidRPr="00000000" w14:paraId="0000000A">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hd w:fill="ffffff" w:val="clear"/>
        <w:spacing w:after="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D">
      <w:pPr>
        <w:shd w:fill="ffffff" w:val="clea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Aminol Classic CS2 SAE 40 has been developed for use in trucks, buses, construction and agricultural equipment, petrol and diesel engines, light commercial vehicles, where the API CF-4 / SF performance levels are recommended by the manufacturer.  </w:t>
      </w:r>
    </w:p>
    <w:p w:rsidR="00000000" w:rsidDel="00000000" w:rsidP="00000000" w:rsidRDefault="00000000" w:rsidRPr="00000000" w14:paraId="0000000E">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0">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excellent oxidation stability and effective deposit control, ensuring consistent engine cleanliness and reliability.</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Engineered to minimize wear and extend maintenance intervals.</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Formulated to reduce oil consumption, thus managing costs effectively.</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Its superior detergency effectively manages piston ring deposits and controls sludge buildup.</w:t>
      </w:r>
    </w:p>
    <w:p w:rsidR="00000000" w:rsidDel="00000000" w:rsidP="00000000" w:rsidRDefault="00000000" w:rsidRPr="00000000" w14:paraId="00000015">
      <w:pPr>
        <w:shd w:fill="ffffff" w:val="clear"/>
        <w:spacing w:after="0" w:line="276" w:lineRule="auto"/>
        <w:ind w:left="36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rPr>
      </w:pPr>
      <w:r w:rsidDel="00000000" w:rsidR="00000000" w:rsidRPr="00000000">
        <w:rPr>
          <w:rFonts w:ascii="Arial" w:cs="Arial" w:eastAsia="Arial" w:hAnsi="Arial"/>
          <w:b w:val="1"/>
          <w:color w:val="c00000"/>
          <w:rtl w:val="0"/>
        </w:rPr>
        <w:t xml:space="preserve">Typical Properties</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6">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95</w:t>
            </w:r>
          </w:p>
        </w:tc>
      </w:tr>
      <w:tr>
        <w:trPr>
          <w:cantSplit w:val="0"/>
          <w:trHeight w:val="397" w:hRule="atLeast"/>
          <w:tblHeader w:val="0"/>
        </w:trPr>
        <w:tc>
          <w:tcPr>
            <w:vAlign w:val="center"/>
          </w:tcPr>
          <w:p w:rsidR="00000000" w:rsidDel="00000000" w:rsidP="00000000" w:rsidRDefault="00000000" w:rsidRPr="00000000" w14:paraId="000000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246</w:t>
            </w:r>
          </w:p>
        </w:tc>
      </w:tr>
      <w:tr>
        <w:trPr>
          <w:cantSplit w:val="0"/>
          <w:trHeight w:val="435" w:hRule="atLeast"/>
          <w:tblHeader w:val="0"/>
        </w:trPr>
        <w:tc>
          <w:tcPr>
            <w:vAlign w:val="center"/>
          </w:tcPr>
          <w:p w:rsidR="00000000" w:rsidDel="00000000" w:rsidP="00000000" w:rsidRDefault="00000000" w:rsidRPr="00000000" w14:paraId="0000003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-21</w:t>
            </w:r>
          </w:p>
        </w:tc>
      </w:tr>
      <w:tr>
        <w:trPr>
          <w:cantSplit w:val="0"/>
          <w:trHeight w:val="397" w:hRule="atLeast"/>
          <w:tblHeader w:val="0"/>
        </w:trPr>
        <w:tc>
          <w:tcPr>
            <w:vAlign w:val="center"/>
          </w:tcPr>
          <w:p w:rsidR="00000000" w:rsidDel="00000000" w:rsidP="00000000" w:rsidRDefault="00000000" w:rsidRPr="00000000" w14:paraId="0000003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6.0</w:t>
            </w:r>
          </w:p>
        </w:tc>
      </w:tr>
      <w:tr>
        <w:trPr>
          <w:cantSplit w:val="0"/>
          <w:trHeight w:val="397" w:hRule="atLeast"/>
          <w:tblHeader w:val="0"/>
        </w:trPr>
        <w:tc>
          <w:tcPr>
            <w:vAlign w:val="center"/>
          </w:tcPr>
          <w:p w:rsidR="00000000" w:rsidDel="00000000" w:rsidP="00000000" w:rsidRDefault="00000000" w:rsidRPr="00000000" w14:paraId="0000003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0.78</w:t>
            </w:r>
          </w:p>
        </w:tc>
      </w:tr>
      <w:tr>
        <w:trPr>
          <w:cantSplit w:val="0"/>
          <w:trHeight w:val="397" w:hRule="atLeast"/>
          <w:tblHeader w:val="0"/>
        </w:trPr>
        <w:tc>
          <w:tcPr>
            <w:vAlign w:val="cente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0.893</w:t>
            </w:r>
          </w:p>
        </w:tc>
      </w:tr>
    </w:tbl>
    <w:p w:rsidR="00000000" w:rsidDel="00000000" w:rsidP="00000000" w:rsidRDefault="00000000" w:rsidRPr="00000000" w14:paraId="00000046">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8">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ACEA E2</w:t>
      </w:r>
    </w:p>
    <w:p w:rsidR="00000000" w:rsidDel="00000000" w:rsidP="00000000" w:rsidRDefault="00000000" w:rsidRPr="00000000" w14:paraId="00000049">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Allison C4</w:t>
      </w:r>
    </w:p>
    <w:p w:rsidR="00000000" w:rsidDel="00000000" w:rsidP="00000000" w:rsidRDefault="00000000" w:rsidRPr="00000000" w14:paraId="0000004A">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Caterpillar TO-2</w:t>
      </w:r>
    </w:p>
    <w:p w:rsidR="00000000" w:rsidDel="00000000" w:rsidP="00000000" w:rsidRDefault="00000000" w:rsidRPr="00000000" w14:paraId="0000004B">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MAN 270</w:t>
      </w:r>
    </w:p>
    <w:p w:rsidR="00000000" w:rsidDel="00000000" w:rsidP="00000000" w:rsidRDefault="00000000" w:rsidRPr="00000000" w14:paraId="0000004C">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MB-228.0</w:t>
      </w:r>
    </w:p>
    <w:p w:rsidR="00000000" w:rsidDel="00000000" w:rsidP="00000000" w:rsidRDefault="00000000" w:rsidRPr="00000000" w14:paraId="0000004D">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MTU Type 1</w:t>
      </w:r>
    </w:p>
    <w:p w:rsidR="00000000" w:rsidDel="00000000" w:rsidP="00000000" w:rsidRDefault="00000000" w:rsidRPr="00000000" w14:paraId="0000004E">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L-2104 L</w:t>
      </w:r>
    </w:p>
    <w:p w:rsidR="00000000" w:rsidDel="00000000" w:rsidP="00000000" w:rsidRDefault="00000000" w:rsidRPr="00000000" w14:paraId="0000004F">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MIL L-46152 L </w:t>
      </w:r>
    </w:p>
    <w:p w:rsidR="00000000" w:rsidDel="00000000" w:rsidP="00000000" w:rsidRDefault="00000000" w:rsidRPr="00000000" w14:paraId="00000050">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03A</w:t>
      </w:r>
    </w:p>
    <w:p w:rsidR="00000000" w:rsidDel="00000000" w:rsidP="00000000" w:rsidRDefault="00000000" w:rsidRPr="00000000" w14:paraId="00000051">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04A</w:t>
      </w:r>
    </w:p>
    <w:p w:rsidR="00000000" w:rsidDel="00000000" w:rsidP="00000000" w:rsidRDefault="00000000" w:rsidRPr="00000000" w14:paraId="00000052">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04B</w:t>
      </w:r>
    </w:p>
    <w:p w:rsidR="00000000" w:rsidDel="00000000" w:rsidP="00000000" w:rsidRDefault="00000000" w:rsidRPr="00000000" w14:paraId="00000053">
      <w:pPr>
        <w:numPr>
          <w:ilvl w:val="0"/>
          <w:numId w:val="1"/>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ZF - TE-ML 07D</w:t>
      </w:r>
    </w:p>
    <w:p w:rsidR="00000000" w:rsidDel="00000000" w:rsidP="00000000" w:rsidRDefault="00000000" w:rsidRPr="00000000" w14:paraId="00000054">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5">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b w:val="1"/>
          <w:color w:val="ff0000"/>
          <w:rtl w:val="0"/>
        </w:rPr>
        <w:t xml:space="preserve">API CF-4/SF</w:t>
      </w:r>
      <w:r w:rsidDel="00000000" w:rsidR="00000000" w:rsidRPr="00000000">
        <w:rPr>
          <w:rtl w:val="0"/>
        </w:rPr>
      </w:r>
    </w:p>
    <w:p w:rsidR="00000000" w:rsidDel="00000000" w:rsidP="00000000" w:rsidRDefault="00000000" w:rsidRPr="00000000" w14:paraId="00000056">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57">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5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numPr>
          <w:ilvl w:val="0"/>
          <w:numId w:val="4"/>
        </w:numPr>
        <w:shd w:fill="ffffff" w:val="clea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5A">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B">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5D">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E">
      <w:pPr>
        <w:numPr>
          <w:ilvl w:val="0"/>
          <w:numId w:val="4"/>
        </w:numPr>
        <w:spacing w:after="0" w:line="360" w:lineRule="auto"/>
        <w:ind w:left="42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F">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0">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1">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2">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63">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64">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p>
    <w:p w:rsidR="00000000" w:rsidDel="00000000" w:rsidP="00000000" w:rsidRDefault="00000000" w:rsidRPr="00000000" w14:paraId="00000065">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7 L Canister plastic</w:t>
      </w:r>
    </w:p>
    <w:p w:rsidR="00000000" w:rsidDel="00000000" w:rsidP="00000000" w:rsidRDefault="00000000" w:rsidRPr="00000000" w14:paraId="00000066">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7">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68">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69">
      <w:pPr>
        <w:numPr>
          <w:ilvl w:val="0"/>
          <w:numId w:val="4"/>
        </w:numPr>
        <w:spacing w:line="276" w:lineRule="auto"/>
        <w:ind w:left="426"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6A">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after="0"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Storage</w:t>
      </w:r>
    </w:p>
    <w:p w:rsidR="00000000" w:rsidDel="00000000" w:rsidP="00000000" w:rsidRDefault="00000000" w:rsidRPr="00000000" w14:paraId="0000006C">
      <w:pPr>
        <w:shd w:fill="ffffff" w:val="clear"/>
        <w:spacing w:after="0"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D">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We recommend to store all packages under cover. </w:t>
      </w:r>
    </w:p>
    <w:p w:rsidR="00000000" w:rsidDel="00000000" w:rsidP="00000000" w:rsidRDefault="00000000" w:rsidRPr="00000000" w14:paraId="0000006E">
      <w:pPr>
        <w:numPr>
          <w:ilvl w:val="0"/>
          <w:numId w:val="4"/>
        </w:numPr>
        <w:spacing w:after="0" w:line="276" w:lineRule="auto"/>
        <w:ind w:left="426" w:hanging="360"/>
        <w:jc w:val="both"/>
        <w:rPr>
          <w:rFonts w:ascii="Arial" w:cs="Arial" w:eastAsia="Arial" w:hAnsi="Arial"/>
          <w:sz w:val="18"/>
          <w:szCs w:val="18"/>
        </w:rPr>
      </w:pPr>
      <w:r w:rsidDel="00000000" w:rsidR="00000000" w:rsidRPr="00000000">
        <w:rPr>
          <w:rFonts w:ascii="Arial" w:cs="Arial" w:eastAsia="Arial" w:hAnsi="Arial"/>
          <w:sz w:val="20"/>
          <w:szCs w:val="20"/>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6F">
      <w:pPr>
        <w:numPr>
          <w:ilvl w:val="0"/>
          <w:numId w:val="4"/>
        </w:numPr>
        <w:spacing w:after="0" w:line="276" w:lineRule="auto"/>
        <w:ind w:left="426"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Products should not be stored above 60 °C, exposed to hot sun or freezing conditions.</w:t>
      </w:r>
    </w:p>
    <w:p w:rsidR="00000000" w:rsidDel="00000000" w:rsidP="00000000" w:rsidRDefault="00000000" w:rsidRPr="00000000" w14:paraId="00000070">
      <w:pPr>
        <w:spacing w:line="276" w:lineRule="auto"/>
        <w:ind w:left="42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AL/EO-P-0041/03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C2F/FL7tVUb+JEMGb9zwcJZrVA==">CgMxLjA4AHIhMXZrTVlTeDlwUnJMSlM3bEF5VGt3dDY3STV3M0xBdVM1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2023-08-31T12:28:00Z</dcterms:created>
  <dc:creator>Gismat Abbasov</dc:creator>
</cp:coreProperties>
</file>