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Premium Hybrid</w:t>
      </w:r>
    </w:p>
    <w:p w:rsidR="00000000" w:rsidDel="00000000" w:rsidP="00000000" w:rsidRDefault="00000000" w:rsidRPr="00000000" w14:paraId="00000006">
      <w:pPr>
        <w:shd w:fill="ffffff" w:val="clear"/>
        <w:spacing w:after="0" w:line="276" w:lineRule="auto"/>
        <w:jc w:val="both"/>
        <w:rPr>
          <w:rFonts w:ascii="Arial" w:cs="Arial" w:eastAsia="Arial" w:hAnsi="Arial"/>
        </w:rPr>
      </w:pPr>
      <w:bookmarkStart w:colFirst="0" w:colLast="0" w:name="_heading=h.gjdgxs" w:id="0"/>
      <w:bookmarkEnd w:id="0"/>
      <w:r w:rsidDel="00000000" w:rsidR="00000000" w:rsidRPr="00000000">
        <w:rPr>
          <w:rFonts w:ascii="Arial" w:cs="Arial" w:eastAsia="Arial" w:hAnsi="Arial"/>
          <w:sz w:val="24"/>
          <w:szCs w:val="24"/>
          <w:rtl w:val="0"/>
        </w:rPr>
        <w:t xml:space="preserve">Engine oil</w:t>
      </w: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Premium Hybrid 0W-20 is an advanced full synthetic low viscosity engine oil designed to help deliver outstanding engine protection and enhanced fuel efficiency under severe driving conditions. It has been engineered with a proprietary blend of high-quality base stocks and a precisely balanced component additive system. </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Premium Hybrid 0W-20 is formulated to provide low speed pre-ignition (LSPI) protection for gasoline direct injection turbocharged vehicles and meets the latest API SN PLUS specification. It is specifically designed and suited to petrol-electric hybrid vehicles.</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stay-in-grade stability </w:t>
      </w:r>
    </w:p>
    <w:p w:rsidR="00000000" w:rsidDel="00000000" w:rsidP="00000000" w:rsidRDefault="00000000" w:rsidRPr="00000000" w14:paraId="00000011">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Outstanding engine cleanliness</w:t>
      </w:r>
    </w:p>
    <w:p w:rsidR="00000000" w:rsidDel="00000000" w:rsidP="00000000" w:rsidRDefault="00000000" w:rsidRPr="00000000" w14:paraId="00000012">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Extended drain interval</w:t>
      </w:r>
    </w:p>
    <w:p w:rsidR="00000000" w:rsidDel="00000000" w:rsidP="00000000" w:rsidRDefault="00000000" w:rsidRPr="00000000" w14:paraId="00000013">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Superb fuel economy effect</w:t>
      </w:r>
    </w:p>
    <w:p w:rsidR="00000000" w:rsidDel="00000000" w:rsidP="00000000" w:rsidRDefault="00000000" w:rsidRPr="00000000" w14:paraId="00000014">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Extraordinary sludge and varnish deposit control</w:t>
      </w:r>
    </w:p>
    <w:p w:rsidR="00000000" w:rsidDel="00000000" w:rsidP="00000000" w:rsidRDefault="00000000" w:rsidRPr="00000000" w14:paraId="00000015">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High protection against rust and corrosion</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2">
      <w:pPr>
        <w:shd w:fill="ffffff" w:val="clear"/>
        <w:spacing w:after="0" w:line="276" w:lineRule="auto"/>
        <w:rPr>
          <w:rFonts w:ascii="Arial" w:cs="Arial" w:eastAsia="Arial" w:hAnsi="Arial"/>
          <w:b w:val="1"/>
          <w:color w:val="c00000"/>
          <w:sz w:val="14"/>
          <w:szCs w:val="14"/>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3">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7.800</w:t>
            </w:r>
          </w:p>
        </w:tc>
      </w:tr>
      <w:tr>
        <w:trPr>
          <w:cantSplit w:val="0"/>
          <w:trHeight w:val="397" w:hRule="atLeast"/>
          <w:tblHeader w:val="0"/>
        </w:trPr>
        <w:tc>
          <w:tcPr>
            <w:vAlign w:val="center"/>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152</w:t>
            </w:r>
          </w:p>
        </w:tc>
      </w:tr>
      <w:tr>
        <w:trPr>
          <w:cantSplit w:val="0"/>
          <w:trHeight w:val="397" w:hRule="atLeast"/>
          <w:tblHeader w:val="0"/>
        </w:trPr>
        <w:tc>
          <w:tcPr>
            <w:vAlign w:val="center"/>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234</w:t>
            </w:r>
          </w:p>
        </w:tc>
      </w:tr>
      <w:tr>
        <w:trPr>
          <w:cantSplit w:val="0"/>
          <w:trHeight w:val="397" w:hRule="atLeast"/>
          <w:tblHeader w:val="0"/>
        </w:trPr>
        <w:tc>
          <w:tcPr>
            <w:vAlign w:val="center"/>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-39</w:t>
            </w:r>
          </w:p>
        </w:tc>
      </w:tr>
      <w:tr>
        <w:trPr>
          <w:cantSplit w:val="0"/>
          <w:trHeight w:val="397" w:hRule="atLeast"/>
          <w:tblHeader w:val="0"/>
        </w:trPr>
        <w:tc>
          <w:tcPr>
            <w:vAlign w:val="center"/>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8.30</w:t>
            </w:r>
          </w:p>
        </w:tc>
      </w:tr>
      <w:tr>
        <w:trPr>
          <w:cantSplit w:val="0"/>
          <w:trHeight w:val="397" w:hRule="atLeast"/>
          <w:tblHeader w:val="0"/>
        </w:trPr>
        <w:tc>
          <w:tcPr>
            <w:vAlign w:val="center"/>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1.04</w:t>
            </w:r>
          </w:p>
        </w:tc>
      </w:tr>
      <w:tr>
        <w:trPr>
          <w:cantSplit w:val="0"/>
          <w:trHeight w:val="397" w:hRule="atLeast"/>
          <w:tblHeader w:val="0"/>
        </w:trPr>
        <w:tc>
          <w:tcPr>
            <w:vAlign w:val="center"/>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0.848</w:t>
            </w:r>
          </w:p>
        </w:tc>
      </w:tr>
    </w:tbl>
    <w:p w:rsidR="00000000" w:rsidDel="00000000" w:rsidP="00000000" w:rsidRDefault="00000000" w:rsidRPr="00000000" w14:paraId="00000043">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4">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highlight w:val="yellow"/>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API SN Plus and RC</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highlight w:val="yellow"/>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ACEA C5-21</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highlight w:val="yellow"/>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Opel OV 040 1547-A20</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highlight w:val="yellow"/>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Ford WSS-M2C947-B1</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highlight w:val="yellow"/>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Fiat 9.55535 -GSX</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highlight w:val="yellow"/>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Chrysler MS-12145</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4">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5">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56">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57">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8">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A">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B">
      <w:pPr>
        <w:numPr>
          <w:ilvl w:val="0"/>
          <w:numId w:val="1"/>
        </w:numPr>
        <w:spacing w:line="276" w:lineRule="auto"/>
        <w:ind w:left="720"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5C">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D">
      <w:pPr>
        <w:shd w:fill="ffffff" w:val="clear"/>
        <w:spacing w:after="0"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Storage</w:t>
      </w:r>
    </w:p>
    <w:p w:rsidR="00000000" w:rsidDel="00000000" w:rsidP="00000000" w:rsidRDefault="00000000" w:rsidRPr="00000000" w14:paraId="0000005E">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F">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 recommend to store all packages under cover. </w:t>
      </w:r>
    </w:p>
    <w:p w:rsidR="00000000" w:rsidDel="00000000" w:rsidP="00000000" w:rsidRDefault="00000000" w:rsidRPr="00000000" w14:paraId="00000060">
      <w:pPr>
        <w:numPr>
          <w:ilvl w:val="0"/>
          <w:numId w:val="1"/>
        </w:numPr>
        <w:spacing w:after="0" w:line="276" w:lineRule="auto"/>
        <w:ind w:left="720" w:hanging="360"/>
        <w:jc w:val="both"/>
        <w:rPr>
          <w:rFonts w:ascii="Arial" w:cs="Arial" w:eastAsia="Arial" w:hAnsi="Arial"/>
          <w:sz w:val="18"/>
          <w:szCs w:val="18"/>
        </w:rPr>
      </w:pPr>
      <w:r w:rsidDel="00000000" w:rsidR="00000000" w:rsidRPr="00000000">
        <w:rPr>
          <w:rFonts w:ascii="Arial" w:cs="Arial" w:eastAsia="Arial" w:hAnsi="Arial"/>
          <w:sz w:val="20"/>
          <w:szCs w:val="20"/>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61">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Products should not be stored above 60 °C, exposed to hot sun or freezing conditions.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4">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AL/EO-P-0027/03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76WQbX3PvxX14eKpKqdSTL8skA==">CgMxLjAyCGguZ2pkZ3hzMghoLmdqZGd4czgAciExcXNHcHVqZk9FTFIyLVJDVVBneDdfYThaTzcwLXQ4SVk=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2023-08-31T12:49:00Z</dcterms:created>
  <dc:creator>Gismat Abbasov</dc:creator>
</cp:coreProperties>
</file>