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PMG5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PMG5 5W-40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B">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PMG5 5W-40 series multigrade engine oil is designed for application in the modern high performance gasoline engines. It is also suitable for passenger cars with gas equipment.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7">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10"/>
          <w:szCs w:val="10"/>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146</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0.860</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SL/CF</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MB-229.3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502.00/505.00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RN 0700/0710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5">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6">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7">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8">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B">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C">
      <w:pPr>
        <w:numPr>
          <w:ilvl w:val="0"/>
          <w:numId w:val="3"/>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AL/EO-P-0025/02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m2cTx4afrxXOImXeTgbrAlruHA==">CgMxLjAyCGguZ2pkZ3hzMghoLmdqZGd4czgAciExQldTZE5XWUctMXkzZU5mU0JuOXFkdXd2RllBT3lTMkc=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2023-08-31T12:58:00Z</dcterms:created>
  <dc:creator>Gismat Abbasov</dc:creator>
</cp:coreProperties>
</file>