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w:t>
      </w:r>
      <w:r w:rsidDel="00000000" w:rsidR="00000000" w:rsidRPr="00000000">
        <w:rPr>
          <w:rFonts w:ascii="Arial" w:cs="Arial" w:eastAsia="Arial" w:hAnsi="Arial"/>
          <w:b w:val="1"/>
          <w:i w:val="0"/>
          <w:smallCaps w:val="0"/>
          <w:strike w:val="0"/>
          <w:color w:val="212121"/>
          <w:sz w:val="32"/>
          <w:szCs w:val="32"/>
          <w:highlight w:val="white"/>
          <w:u w:val="none"/>
          <w:vertAlign w:val="superscript"/>
          <w:rtl w:val="0"/>
        </w:rPr>
        <w:t xml:space="preserv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Super SPG1 5W-30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 w:firstLine="0"/>
        <w:jc w:val="both"/>
        <w:rPr>
          <w:rFonts w:ascii="Helvetica Neue" w:cs="Helvetica Neue" w:eastAsia="Helvetica Neue" w:hAnsi="Helvetica Neue"/>
          <w:b w:val="0"/>
          <w:i w:val="0"/>
          <w:smallCaps w:val="0"/>
          <w:strike w:val="0"/>
          <w:color w:val="2b2626"/>
          <w:highlight w:val="white"/>
          <w:u w:val="none"/>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Aminol</w:t>
      </w:r>
      <w:r w:rsidDel="00000000" w:rsidR="00000000" w:rsidRPr="00000000">
        <w:rPr>
          <w:rFonts w:ascii="Arial" w:cs="Arial" w:eastAsia="Arial" w:hAnsi="Arial"/>
          <w:b w:val="0"/>
          <w:i w:val="0"/>
          <w:smallCaps w:val="0"/>
          <w:strike w:val="0"/>
          <w:color w:val="00000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Super SPG1 5W-30 is a </w:t>
      </w:r>
      <w:r w:rsidDel="00000000" w:rsidR="00000000" w:rsidRPr="00000000">
        <w:rPr>
          <w:rFonts w:ascii="Arial" w:cs="Arial" w:eastAsia="Arial" w:hAnsi="Arial"/>
          <w:b w:val="0"/>
          <w:i w:val="0"/>
          <w:smallCaps w:val="0"/>
          <w:strike w:val="0"/>
          <w:color w:val="000000"/>
          <w:highlight w:val="white"/>
          <w:u w:val="none"/>
          <w:vertAlign w:val="baseline"/>
          <w:rtl w:val="0"/>
        </w:rPr>
        <w:t xml:space="preserve">high-tech low-friction engine oil based on synthetic technology. It has specially been designed to keep the engine running like new by providing exceptional wear protection, cleaning power and overall performance</w:t>
      </w:r>
      <w:r w:rsidDel="00000000" w:rsidR="00000000" w:rsidRPr="00000000">
        <w:rPr>
          <w:rFonts w:ascii="Helvetica Neue" w:cs="Helvetica Neue" w:eastAsia="Helvetica Neue" w:hAnsi="Helvetica Neue"/>
          <w:b w:val="0"/>
          <w:i w:val="0"/>
          <w:smallCaps w:val="0"/>
          <w:strike w:val="0"/>
          <w:color w:val="2b2626"/>
          <w:highlight w:val="white"/>
          <w:u w:val="none"/>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60" w:before="60" w:line="276" w:lineRule="auto"/>
        <w:jc w:val="both"/>
        <w:rPr>
          <w:rFonts w:ascii="Arial" w:cs="Arial" w:eastAsia="Arial" w:hAnsi="Arial"/>
          <w:b w:val="1"/>
          <w:color w:val="c00000"/>
          <w:highlight w:val="yellow"/>
        </w:rPr>
      </w:pPr>
      <w:r w:rsidDel="00000000" w:rsidR="00000000" w:rsidRPr="00000000">
        <w:rPr>
          <w:rFonts w:ascii="Arial" w:cs="Arial" w:eastAsia="Arial" w:hAnsi="Arial"/>
          <w:rtl w:val="0"/>
        </w:rPr>
        <w:t xml:space="preserve">Aminol</w:t>
      </w:r>
      <w:r w:rsidDel="00000000" w:rsidR="00000000" w:rsidRPr="00000000">
        <w:rPr>
          <w:rFonts w:ascii="Arial" w:cs="Arial" w:eastAsia="Arial" w:hAnsi="Arial"/>
          <w:highlight w:val="white"/>
          <w:vertAlign w:val="superscript"/>
          <w:rtl w:val="0"/>
        </w:rPr>
        <w:t xml:space="preserve">™</w:t>
      </w:r>
      <w:r w:rsidDel="00000000" w:rsidR="00000000" w:rsidRPr="00000000">
        <w:rPr>
          <w:rFonts w:ascii="Arial" w:cs="Arial" w:eastAsia="Arial" w:hAnsi="Arial"/>
          <w:rtl w:val="0"/>
        </w:rPr>
        <w:t xml:space="preserve"> Super SPG1 5W-30 can be used for pistons for improved high temperature deposit protection, tighter sludge control and seal compatibility. Thеy also ensure proven energy conserving properties. It is designed for use in passenger cars, light trucks and vans.</w:t>
      </w:r>
      <w:r w:rsidDel="00000000" w:rsidR="00000000" w:rsidRPr="00000000">
        <w:rPr>
          <w:rtl w:val="0"/>
        </w:rPr>
      </w:r>
    </w:p>
    <w:p w:rsidR="00000000" w:rsidDel="00000000" w:rsidP="00000000" w:rsidRDefault="00000000" w:rsidRPr="00000000" w14:paraId="0000000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D">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engine cleanliness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thermal stability and oxidation resistance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Sustained engine component protection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Optimized fuel consumption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Minimized harmful exhaust emissions</w:t>
      </w:r>
    </w:p>
    <w:p w:rsidR="00000000" w:rsidDel="00000000" w:rsidP="00000000" w:rsidRDefault="00000000" w:rsidRPr="00000000" w14:paraId="00000013">
      <w:pPr>
        <w:shd w:fill="ffffff" w:val="clear"/>
        <w:spacing w:after="0" w:line="276" w:lineRule="auto"/>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2">
      <w:pPr>
        <w:shd w:fill="ffffff" w:val="clear"/>
        <w:spacing w:after="0" w:line="276" w:lineRule="auto"/>
        <w:rPr>
          <w:rFonts w:ascii="Arial" w:cs="Arial" w:eastAsia="Arial" w:hAnsi="Arial"/>
          <w:b w:val="1"/>
          <w:color w:val="c00000"/>
          <w:sz w:val="8"/>
          <w:szCs w:val="8"/>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10.80</w:t>
            </w:r>
          </w:p>
        </w:tc>
      </w:tr>
      <w:tr>
        <w:trPr>
          <w:cantSplit w:val="0"/>
          <w:trHeight w:val="397" w:hRule="atLeast"/>
          <w:tblHeader w:val="0"/>
        </w:trPr>
        <w:tc>
          <w:tcP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148</w:t>
            </w:r>
          </w:p>
        </w:tc>
      </w:tr>
      <w:tr>
        <w:trPr>
          <w:cantSplit w:val="0"/>
          <w:trHeight w:val="397" w:hRule="atLeast"/>
          <w:tblHeader w:val="0"/>
        </w:trPr>
        <w:tc>
          <w:tcP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224</w:t>
            </w:r>
          </w:p>
        </w:tc>
      </w:tr>
      <w:tr>
        <w:trPr>
          <w:cantSplit w:val="0"/>
          <w:trHeight w:val="397" w:hRule="atLeast"/>
          <w:tblHeader w:val="0"/>
        </w:trPr>
        <w:tc>
          <w:tcP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r>
      <w:tr>
        <w:trPr>
          <w:cantSplit w:val="0"/>
          <w:trHeight w:val="397" w:hRule="atLeast"/>
          <w:tblHeader w:val="0"/>
        </w:trPr>
        <w:tc>
          <w:tcP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8.30</w:t>
            </w:r>
          </w:p>
        </w:tc>
      </w:tr>
      <w:tr>
        <w:trPr>
          <w:cantSplit w:val="0"/>
          <w:trHeight w:val="397" w:hRule="atLeast"/>
          <w:tblHeader w:val="0"/>
        </w:trPr>
        <w:tc>
          <w:tcP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1.05</w:t>
            </w:r>
          </w:p>
        </w:tc>
      </w:tr>
      <w:tr>
        <w:trPr>
          <w:cantSplit w:val="0"/>
          <w:trHeight w:val="397" w:hRule="atLeast"/>
          <w:tblHeader w:val="0"/>
        </w:trPr>
        <w:tc>
          <w:tcP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0.858</w:t>
            </w:r>
          </w:p>
        </w:tc>
      </w:tr>
    </w:tbl>
    <w:p w:rsidR="00000000" w:rsidDel="00000000" w:rsidP="00000000" w:rsidRDefault="00000000" w:rsidRPr="00000000" w14:paraId="00000043">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SN/CF</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ILSAC GF-5</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A3/B4-21</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MB-229.3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 502.00/505.00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RN 0700/0710</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w:t>
      </w:r>
      <w:r w:rsidDel="00000000" w:rsidR="00000000" w:rsidRPr="00000000">
        <w:rPr>
          <w:rFonts w:ascii="Arial" w:cs="Arial" w:eastAsia="Arial" w:hAnsi="Arial"/>
          <w:sz w:val="20"/>
          <w:szCs w:val="20"/>
          <w:rtl w:val="0"/>
        </w:rPr>
        <w:t xml:space="preserve">storing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packages under cover. </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w:t>
      </w:r>
      <w:r w:rsidDel="00000000" w:rsidR="00000000" w:rsidRPr="00000000">
        <w:rPr>
          <w:rFonts w:ascii="Arial" w:cs="Arial" w:eastAsia="Arial" w:hAnsi="Arial"/>
          <w:sz w:val="20"/>
          <w:szCs w:val="20"/>
          <w:rtl w:val="0"/>
        </w:rPr>
        <w:t xml:space="preserve">unavoidable, drums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7">
      <w:pPr>
        <w:spacing w:after="0"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8">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AL/EO-P-0011/03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igG0n+56l+4FsEkp3U6gEalxWw==">CgMxLjA4AHIhMWFZcTkzR0kxa0JFYVlhR2dXYm9jQV9tajlZakpqUXNf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2023-08-31T13:18:00Z</dcterms:created>
  <dc:creator>Gismat Abbasov</dc:creator>
</cp:coreProperties>
</file>