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Product Data Sheet</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Aminol™ Super SPG4</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Engine oil </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480" w:lineRule="auto"/>
        <w:ind w:left="0" w:right="0" w:firstLine="0"/>
        <w:jc w:val="left"/>
        <w:rPr>
          <w:rFonts w:ascii="Arial" w:cs="Arial" w:eastAsia="Arial" w:hAnsi="Arial"/>
          <w:b w:val="1"/>
          <w:i w:val="0"/>
          <w:smallCaps w:val="0"/>
          <w:strike w:val="0"/>
          <w:color w:val="c00000"/>
          <w:u w:val="none"/>
          <w:shd w:fill="auto" w:val="clear"/>
          <w:vertAlign w:val="baseline"/>
        </w:rPr>
      </w:pPr>
      <w:r w:rsidDel="00000000" w:rsidR="00000000" w:rsidRPr="00000000">
        <w:rPr>
          <w:rFonts w:ascii="Arial" w:cs="Arial" w:eastAsia="Arial" w:hAnsi="Arial"/>
          <w:b w:val="1"/>
          <w:i w:val="0"/>
          <w:smallCaps w:val="0"/>
          <w:strike w:val="0"/>
          <w:color w:val="c00000"/>
          <w:u w:val="none"/>
          <w:shd w:fill="auto" w:val="clear"/>
          <w:vertAlign w:val="baseline"/>
          <w:rtl w:val="0"/>
        </w:rPr>
        <w:t xml:space="preserve">Product description</w:t>
      </w:r>
    </w:p>
    <w:p w:rsidR="00000000" w:rsidDel="00000000" w:rsidP="00000000" w:rsidRDefault="00000000" w:rsidRPr="00000000" w14:paraId="00000009">
      <w:pPr>
        <w:shd w:fill="ffffff" w:val="clear"/>
        <w:spacing w:after="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Aminol™ Super SPG4 5W-20 is a high-tech low-friction engine oil based on synthetic technology. It has specially been designed to keep the engine running like new by providing exceptional wear protection, cleaning power and overall performance.</w:t>
      </w:r>
    </w:p>
    <w:p w:rsidR="00000000" w:rsidDel="00000000" w:rsidP="00000000" w:rsidRDefault="00000000" w:rsidRPr="00000000" w14:paraId="0000000A">
      <w:pPr>
        <w:shd w:fill="ffffff" w:val="clear"/>
        <w:spacing w:after="0" w:line="276" w:lineRule="auto"/>
        <w:rPr>
          <w:rFonts w:ascii="Arial" w:cs="Arial" w:eastAsia="Arial" w:hAnsi="Arial"/>
          <w:color w:val="000000"/>
        </w:rPr>
      </w:pPr>
      <w:bookmarkStart w:colFirst="0" w:colLast="0" w:name="_heading=h.gjdgxs" w:id="0"/>
      <w:bookmarkEnd w:id="0"/>
      <w:r w:rsidDel="00000000" w:rsidR="00000000" w:rsidRPr="00000000">
        <w:rPr>
          <w:rtl w:val="0"/>
        </w:rPr>
      </w:r>
    </w:p>
    <w:p w:rsidR="00000000" w:rsidDel="00000000" w:rsidP="00000000" w:rsidRDefault="00000000" w:rsidRPr="00000000" w14:paraId="0000000B">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Application</w:t>
      </w:r>
    </w:p>
    <w:p w:rsidR="00000000" w:rsidDel="00000000" w:rsidP="00000000" w:rsidRDefault="00000000" w:rsidRPr="00000000" w14:paraId="0000000C">
      <w:pPr>
        <w:shd w:fill="ffffff" w:val="clear"/>
        <w:spacing w:after="0" w:line="276" w:lineRule="auto"/>
        <w:jc w:val="both"/>
        <w:rPr>
          <w:rFonts w:ascii="Arial" w:cs="Arial" w:eastAsia="Arial" w:hAnsi="Arial"/>
          <w:color w:val="000000"/>
        </w:rPr>
      </w:pPr>
      <w:r w:rsidDel="00000000" w:rsidR="00000000" w:rsidRPr="00000000">
        <w:rPr>
          <w:rFonts w:ascii="Arial" w:cs="Arial" w:eastAsia="Arial" w:hAnsi="Arial"/>
          <w:rtl w:val="0"/>
        </w:rPr>
        <w:t xml:space="preserve">Aminol™ Super SPG4 5W-20 can be used for pistons for improved high temperature deposit protection, tighter sludge control and seal compatibility. Thеy also ensure proven energy conserving properties. It is designed for use in passenger cars, light trucks and vans. </w:t>
      </w: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0D">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E">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Features &amp; Benefits</w:t>
      </w:r>
    </w:p>
    <w:p w:rsidR="00000000" w:rsidDel="00000000" w:rsidP="00000000" w:rsidRDefault="00000000" w:rsidRPr="00000000" w14:paraId="000000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284"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Outstanding engine cleanliness</w:t>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284"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Exceptional thermal stability and oxidation resistance </w:t>
      </w:r>
    </w:p>
    <w:p w:rsidR="00000000" w:rsidDel="00000000" w:rsidP="00000000" w:rsidRDefault="00000000" w:rsidRPr="00000000" w14:paraId="000000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284"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Sustained engine component protection </w:t>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284"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Optimized fuel consumption</w:t>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284"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Minimized harmful exhaust emissions</w:t>
      </w:r>
    </w:p>
    <w:p w:rsidR="00000000" w:rsidDel="00000000" w:rsidP="00000000" w:rsidRDefault="00000000" w:rsidRPr="00000000" w14:paraId="00000014">
      <w:pPr>
        <w:shd w:fill="ffffff" w:val="clear"/>
        <w:spacing w:after="0" w:line="276" w:lineRule="auto"/>
        <w:rPr>
          <w:rFonts w:ascii="Arial" w:cs="Arial" w:eastAsia="Arial" w:hAnsi="Arial"/>
          <w:b w:val="1"/>
          <w:color w:val="c00000"/>
          <w:sz w:val="20"/>
          <w:szCs w:val="20"/>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Typical Properties</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tbl>
      <w:tblPr>
        <w:tblStyle w:val="Table1"/>
        <w:tblW w:w="9356.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9"/>
        <w:gridCol w:w="2079"/>
        <w:gridCol w:w="2079"/>
        <w:gridCol w:w="2079"/>
        <w:tblGridChange w:id="0">
          <w:tblGrid>
            <w:gridCol w:w="3119"/>
            <w:gridCol w:w="2079"/>
            <w:gridCol w:w="2079"/>
            <w:gridCol w:w="2079"/>
          </w:tblGrid>
        </w:tblGridChange>
      </w:tblGrid>
      <w:tr>
        <w:trPr>
          <w:cantSplit w:val="0"/>
          <w:trHeight w:val="397" w:hRule="atLeast"/>
          <w:tblHeader w:val="0"/>
        </w:trPr>
        <w:tc>
          <w:tcPr>
            <w:shd w:fill="f2f2f2" w:val="clear"/>
            <w:vAlign w:val="center"/>
          </w:tcPr>
          <w:p w:rsidR="00000000" w:rsidDel="00000000" w:rsidP="00000000" w:rsidRDefault="00000000" w:rsidRPr="00000000" w14:paraId="00000022">
            <w:pPr>
              <w:ind w:left="67" w:hanging="67"/>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Property</w:t>
            </w:r>
          </w:p>
        </w:tc>
        <w:tc>
          <w:tcPr>
            <w:shd w:fill="f2f2f2" w:val="clear"/>
            <w:vAlign w:val="center"/>
          </w:tcPr>
          <w:p w:rsidR="00000000" w:rsidDel="00000000" w:rsidP="00000000" w:rsidRDefault="00000000" w:rsidRPr="00000000" w14:paraId="00000023">
            <w:pP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Unit</w:t>
            </w:r>
          </w:p>
        </w:tc>
        <w:tc>
          <w:tcPr>
            <w:shd w:fill="f2f2f2" w:val="clear"/>
            <w:vAlign w:val="center"/>
          </w:tcPr>
          <w:p w:rsidR="00000000" w:rsidDel="00000000" w:rsidP="00000000" w:rsidRDefault="00000000" w:rsidRPr="00000000" w14:paraId="00000024">
            <w:pP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Test method</w:t>
            </w:r>
          </w:p>
        </w:tc>
        <w:tc>
          <w:tcPr>
            <w:shd w:fill="f2f2f2" w:val="clear"/>
            <w:vAlign w:val="center"/>
          </w:tcPr>
          <w:p w:rsidR="00000000" w:rsidDel="00000000" w:rsidP="00000000" w:rsidRDefault="00000000" w:rsidRPr="00000000" w14:paraId="00000025">
            <w:pP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Typical value</w:t>
            </w:r>
          </w:p>
        </w:tc>
      </w:tr>
      <w:tr>
        <w:trPr>
          <w:cantSplit w:val="0"/>
          <w:trHeight w:val="397" w:hRule="atLeast"/>
          <w:tblHeader w:val="0"/>
        </w:trPr>
        <w:tc>
          <w:tcPr>
            <w:vAlign w:val="center"/>
          </w:tcPr>
          <w:p w:rsidR="00000000" w:rsidDel="00000000" w:rsidP="00000000" w:rsidRDefault="00000000" w:rsidRPr="00000000" w14:paraId="00000026">
            <w:pPr>
              <w:rPr>
                <w:rFonts w:ascii="Arial" w:cs="Arial" w:eastAsia="Arial" w:hAnsi="Arial"/>
                <w:sz w:val="24"/>
                <w:szCs w:val="24"/>
              </w:rPr>
            </w:pPr>
            <w:r w:rsidDel="00000000" w:rsidR="00000000" w:rsidRPr="00000000">
              <w:rPr>
                <w:rFonts w:ascii="Arial" w:cs="Arial" w:eastAsia="Arial" w:hAnsi="Arial"/>
                <w:sz w:val="20"/>
                <w:szCs w:val="20"/>
                <w:rtl w:val="0"/>
              </w:rPr>
              <w:t xml:space="preserve">Kinematic Viscosity at 100℃</w:t>
            </w:r>
            <w:r w:rsidDel="00000000" w:rsidR="00000000" w:rsidRPr="00000000">
              <w:rPr>
                <w:rtl w:val="0"/>
              </w:rPr>
            </w:r>
          </w:p>
        </w:tc>
        <w:tc>
          <w:tcPr>
            <w:vAlign w:val="center"/>
          </w:tcPr>
          <w:p w:rsidR="00000000" w:rsidDel="00000000" w:rsidP="00000000" w:rsidRDefault="00000000" w:rsidRPr="00000000" w14:paraId="00000027">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cst</w:t>
            </w:r>
          </w:p>
        </w:tc>
        <w:tc>
          <w:tcPr>
            <w:vAlign w:val="center"/>
          </w:tcPr>
          <w:p w:rsidR="00000000" w:rsidDel="00000000" w:rsidP="00000000" w:rsidRDefault="00000000" w:rsidRPr="00000000" w14:paraId="00000028">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445</w:t>
            </w:r>
          </w:p>
        </w:tc>
        <w:tc>
          <w:tcPr>
            <w:vAlign w:val="center"/>
          </w:tcPr>
          <w:p w:rsidR="00000000" w:rsidDel="00000000" w:rsidP="00000000" w:rsidRDefault="00000000" w:rsidRPr="00000000" w14:paraId="00000029">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8.20</w:t>
            </w:r>
          </w:p>
        </w:tc>
      </w:tr>
      <w:tr>
        <w:trPr>
          <w:cantSplit w:val="0"/>
          <w:trHeight w:val="397" w:hRule="atLeast"/>
          <w:tblHeader w:val="0"/>
        </w:trPr>
        <w:tc>
          <w:tcPr>
            <w:vAlign w:val="center"/>
          </w:tcPr>
          <w:p w:rsidR="00000000" w:rsidDel="00000000" w:rsidP="00000000" w:rsidRDefault="00000000" w:rsidRPr="00000000" w14:paraId="0000002A">
            <w:pPr>
              <w:rPr>
                <w:rFonts w:ascii="Arial" w:cs="Arial" w:eastAsia="Arial" w:hAnsi="Arial"/>
                <w:sz w:val="20"/>
                <w:szCs w:val="20"/>
              </w:rPr>
            </w:pPr>
            <w:r w:rsidDel="00000000" w:rsidR="00000000" w:rsidRPr="00000000">
              <w:rPr>
                <w:rFonts w:ascii="Arial" w:cs="Arial" w:eastAsia="Arial" w:hAnsi="Arial"/>
                <w:sz w:val="20"/>
                <w:szCs w:val="20"/>
                <w:rtl w:val="0"/>
              </w:rPr>
              <w:t xml:space="preserve">Viscosity Index</w:t>
            </w:r>
          </w:p>
        </w:tc>
        <w:tc>
          <w:tcPr>
            <w:vAlign w:val="center"/>
          </w:tcPr>
          <w:p w:rsidR="00000000" w:rsidDel="00000000" w:rsidP="00000000" w:rsidRDefault="00000000" w:rsidRPr="00000000" w14:paraId="0000002B">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2C">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2270</w:t>
            </w:r>
          </w:p>
        </w:tc>
        <w:tc>
          <w:tcPr>
            <w:vAlign w:val="center"/>
          </w:tcPr>
          <w:p w:rsidR="00000000" w:rsidDel="00000000" w:rsidP="00000000" w:rsidRDefault="00000000" w:rsidRPr="00000000" w14:paraId="0000002D">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164</w:t>
            </w:r>
          </w:p>
        </w:tc>
      </w:tr>
      <w:tr>
        <w:trPr>
          <w:cantSplit w:val="0"/>
          <w:trHeight w:val="397" w:hRule="atLeast"/>
          <w:tblHeader w:val="0"/>
        </w:trPr>
        <w:tc>
          <w:tcPr>
            <w:vAlign w:val="center"/>
          </w:tcPr>
          <w:p w:rsidR="00000000" w:rsidDel="00000000" w:rsidP="00000000" w:rsidRDefault="00000000" w:rsidRPr="00000000" w14:paraId="0000002E">
            <w:pPr>
              <w:rPr>
                <w:rFonts w:ascii="Arial" w:cs="Arial" w:eastAsia="Arial" w:hAnsi="Arial"/>
                <w:sz w:val="20"/>
                <w:szCs w:val="20"/>
              </w:rPr>
            </w:pPr>
            <w:r w:rsidDel="00000000" w:rsidR="00000000" w:rsidRPr="00000000">
              <w:rPr>
                <w:rFonts w:ascii="Arial" w:cs="Arial" w:eastAsia="Arial" w:hAnsi="Arial"/>
                <w:sz w:val="20"/>
                <w:szCs w:val="20"/>
                <w:rtl w:val="0"/>
              </w:rPr>
              <w:t xml:space="preserve">Flash Point, COC</w:t>
            </w:r>
          </w:p>
        </w:tc>
        <w:tc>
          <w:tcPr>
            <w:vAlign w:val="center"/>
          </w:tcPr>
          <w:p w:rsidR="00000000" w:rsidDel="00000000" w:rsidP="00000000" w:rsidRDefault="00000000" w:rsidRPr="00000000" w14:paraId="0000002F">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30">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92</w:t>
            </w:r>
          </w:p>
        </w:tc>
        <w:tc>
          <w:tcPr>
            <w:vAlign w:val="center"/>
          </w:tcPr>
          <w:p w:rsidR="00000000" w:rsidDel="00000000" w:rsidP="00000000" w:rsidRDefault="00000000" w:rsidRPr="00000000" w14:paraId="00000031">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210</w:t>
            </w:r>
          </w:p>
        </w:tc>
      </w:tr>
      <w:tr>
        <w:trPr>
          <w:cantSplit w:val="0"/>
          <w:trHeight w:val="397" w:hRule="atLeast"/>
          <w:tblHeader w:val="0"/>
        </w:trPr>
        <w:tc>
          <w:tcPr>
            <w:vAlign w:val="center"/>
          </w:tcPr>
          <w:p w:rsidR="00000000" w:rsidDel="00000000" w:rsidP="00000000" w:rsidRDefault="00000000" w:rsidRPr="00000000" w14:paraId="00000032">
            <w:pPr>
              <w:rPr>
                <w:rFonts w:ascii="Arial" w:cs="Arial" w:eastAsia="Arial" w:hAnsi="Arial"/>
                <w:sz w:val="20"/>
                <w:szCs w:val="20"/>
              </w:rPr>
            </w:pPr>
            <w:r w:rsidDel="00000000" w:rsidR="00000000" w:rsidRPr="00000000">
              <w:rPr>
                <w:rFonts w:ascii="Arial" w:cs="Arial" w:eastAsia="Arial" w:hAnsi="Arial"/>
                <w:sz w:val="20"/>
                <w:szCs w:val="20"/>
                <w:rtl w:val="0"/>
              </w:rPr>
              <w:t xml:space="preserve">Pour Point </w:t>
            </w:r>
          </w:p>
        </w:tc>
        <w:tc>
          <w:tcPr>
            <w:vAlign w:val="center"/>
          </w:tcPr>
          <w:p w:rsidR="00000000" w:rsidDel="00000000" w:rsidP="00000000" w:rsidRDefault="00000000" w:rsidRPr="00000000" w14:paraId="00000033">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34">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97</w:t>
            </w:r>
          </w:p>
        </w:tc>
        <w:tc>
          <w:tcPr>
            <w:vAlign w:val="center"/>
          </w:tcPr>
          <w:p w:rsidR="00000000" w:rsidDel="00000000" w:rsidP="00000000" w:rsidRDefault="00000000" w:rsidRPr="00000000" w14:paraId="00000035">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-39</w:t>
            </w:r>
          </w:p>
        </w:tc>
      </w:tr>
      <w:tr>
        <w:trPr>
          <w:cantSplit w:val="0"/>
          <w:trHeight w:val="397" w:hRule="atLeast"/>
          <w:tblHeader w:val="0"/>
        </w:trPr>
        <w:tc>
          <w:tcPr>
            <w:vAlign w:val="center"/>
          </w:tcPr>
          <w:p w:rsidR="00000000" w:rsidDel="00000000" w:rsidP="00000000" w:rsidRDefault="00000000" w:rsidRPr="00000000" w14:paraId="00000036">
            <w:pPr>
              <w:rPr>
                <w:rFonts w:ascii="Arial" w:cs="Arial" w:eastAsia="Arial" w:hAnsi="Arial"/>
                <w:sz w:val="20"/>
                <w:szCs w:val="20"/>
              </w:rPr>
            </w:pPr>
            <w:r w:rsidDel="00000000" w:rsidR="00000000" w:rsidRPr="00000000">
              <w:rPr>
                <w:rFonts w:ascii="Arial" w:cs="Arial" w:eastAsia="Arial" w:hAnsi="Arial"/>
                <w:sz w:val="20"/>
                <w:szCs w:val="20"/>
                <w:rtl w:val="0"/>
              </w:rPr>
              <w:t xml:space="preserve">TBN</w:t>
            </w:r>
          </w:p>
        </w:tc>
        <w:tc>
          <w:tcPr>
            <w:vAlign w:val="center"/>
          </w:tcPr>
          <w:p w:rsidR="00000000" w:rsidDel="00000000" w:rsidP="00000000" w:rsidRDefault="00000000" w:rsidRPr="00000000" w14:paraId="00000037">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mg KOH/g</w:t>
            </w:r>
          </w:p>
        </w:tc>
        <w:tc>
          <w:tcPr>
            <w:vAlign w:val="center"/>
          </w:tcPr>
          <w:p w:rsidR="00000000" w:rsidDel="00000000" w:rsidP="00000000" w:rsidRDefault="00000000" w:rsidRPr="00000000" w14:paraId="00000038">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2896</w:t>
            </w:r>
          </w:p>
        </w:tc>
        <w:tc>
          <w:tcPr>
            <w:vAlign w:val="center"/>
          </w:tcPr>
          <w:p w:rsidR="00000000" w:rsidDel="00000000" w:rsidP="00000000" w:rsidRDefault="00000000" w:rsidRPr="00000000" w14:paraId="00000039">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10.4</w:t>
            </w:r>
          </w:p>
        </w:tc>
      </w:tr>
      <w:tr>
        <w:trPr>
          <w:cantSplit w:val="0"/>
          <w:trHeight w:val="397" w:hRule="atLeast"/>
          <w:tblHeader w:val="0"/>
        </w:trPr>
        <w:tc>
          <w:tcPr>
            <w:vAlign w:val="center"/>
          </w:tcPr>
          <w:p w:rsidR="00000000" w:rsidDel="00000000" w:rsidP="00000000" w:rsidRDefault="00000000" w:rsidRPr="00000000" w14:paraId="0000003A">
            <w:pPr>
              <w:rPr>
                <w:rFonts w:ascii="Arial" w:cs="Arial" w:eastAsia="Arial" w:hAnsi="Arial"/>
                <w:sz w:val="20"/>
                <w:szCs w:val="20"/>
              </w:rPr>
            </w:pPr>
            <w:r w:rsidDel="00000000" w:rsidR="00000000" w:rsidRPr="00000000">
              <w:rPr>
                <w:rFonts w:ascii="Arial" w:cs="Arial" w:eastAsia="Arial" w:hAnsi="Arial"/>
                <w:sz w:val="20"/>
                <w:szCs w:val="20"/>
                <w:rtl w:val="0"/>
              </w:rPr>
              <w:t xml:space="preserve">Sulphated Ash Content</w:t>
            </w:r>
          </w:p>
        </w:tc>
        <w:tc>
          <w:tcPr>
            <w:vAlign w:val="center"/>
          </w:tcPr>
          <w:p w:rsidR="00000000" w:rsidDel="00000000" w:rsidP="00000000" w:rsidRDefault="00000000" w:rsidRPr="00000000" w14:paraId="0000003B">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3C">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874</w:t>
            </w:r>
          </w:p>
        </w:tc>
        <w:tc>
          <w:tcPr>
            <w:vAlign w:val="center"/>
          </w:tcPr>
          <w:p w:rsidR="00000000" w:rsidDel="00000000" w:rsidP="00000000" w:rsidRDefault="00000000" w:rsidRPr="00000000" w14:paraId="0000003D">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1.31</w:t>
            </w:r>
          </w:p>
        </w:tc>
      </w:tr>
      <w:tr>
        <w:trPr>
          <w:cantSplit w:val="0"/>
          <w:trHeight w:val="397" w:hRule="atLeast"/>
          <w:tblHeader w:val="0"/>
        </w:trPr>
        <w:tc>
          <w:tcPr>
            <w:vAlign w:val="center"/>
          </w:tcPr>
          <w:p w:rsidR="00000000" w:rsidDel="00000000" w:rsidP="00000000" w:rsidRDefault="00000000" w:rsidRPr="00000000" w14:paraId="0000003E">
            <w:pPr>
              <w:rPr>
                <w:rFonts w:ascii="Arial" w:cs="Arial" w:eastAsia="Arial" w:hAnsi="Arial"/>
                <w:sz w:val="20"/>
                <w:szCs w:val="20"/>
              </w:rPr>
            </w:pPr>
            <w:r w:rsidDel="00000000" w:rsidR="00000000" w:rsidRPr="00000000">
              <w:rPr>
                <w:rFonts w:ascii="Arial" w:cs="Arial" w:eastAsia="Arial" w:hAnsi="Arial"/>
                <w:sz w:val="20"/>
                <w:szCs w:val="20"/>
                <w:rtl w:val="0"/>
              </w:rPr>
              <w:t xml:space="preserve">Density at 20℃</w:t>
            </w:r>
          </w:p>
        </w:tc>
        <w:tc>
          <w:tcPr>
            <w:vAlign w:val="center"/>
          </w:tcPr>
          <w:p w:rsidR="00000000" w:rsidDel="00000000" w:rsidP="00000000" w:rsidRDefault="00000000" w:rsidRPr="00000000" w14:paraId="0000003F">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g/ml</w:t>
            </w:r>
          </w:p>
        </w:tc>
        <w:tc>
          <w:tcPr>
            <w:vAlign w:val="center"/>
          </w:tcPr>
          <w:p w:rsidR="00000000" w:rsidDel="00000000" w:rsidP="00000000" w:rsidRDefault="00000000" w:rsidRPr="00000000" w14:paraId="00000040">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4052</w:t>
            </w:r>
          </w:p>
        </w:tc>
        <w:tc>
          <w:tcPr>
            <w:vAlign w:val="center"/>
          </w:tcPr>
          <w:p w:rsidR="00000000" w:rsidDel="00000000" w:rsidP="00000000" w:rsidRDefault="00000000" w:rsidRPr="00000000" w14:paraId="00000041">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0.830</w:t>
            </w:r>
          </w:p>
        </w:tc>
      </w:tr>
    </w:tbl>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76" w:lineRule="auto"/>
        <w:ind w:left="0" w:right="0" w:firstLine="0"/>
        <w:jc w:val="both"/>
        <w:rPr>
          <w:rFonts w:ascii="Arial" w:cs="Arial" w:eastAsia="Arial" w:hAnsi="Arial"/>
          <w:b w:val="1"/>
          <w:color w:val="c00000"/>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Typical property characteristics are based on current production. Whilst future production will conform to Aminol</w:t>
      </w:r>
      <w:r w:rsidDel="00000000" w:rsidR="00000000" w:rsidRPr="00000000">
        <w:rPr>
          <w:rFonts w:ascii="Arial" w:cs="Arial" w:eastAsia="Arial" w:hAnsi="Arial"/>
          <w:b w:val="0"/>
          <w:i w:val="0"/>
          <w:smallCaps w:val="0"/>
          <w:strike w:val="0"/>
          <w:color w:val="212121"/>
          <w:sz w:val="20"/>
          <w:szCs w:val="20"/>
          <w:highlight w:val="white"/>
          <w:u w:val="none"/>
          <w:vertAlign w:val="superscript"/>
          <w:rtl w:val="0"/>
        </w:rPr>
        <w:t xml:space="preserve">™</w:t>
      </w:r>
      <w:r w:rsidDel="00000000" w:rsidR="00000000" w:rsidRPr="00000000">
        <w:rPr>
          <w:rFonts w:ascii="Arial" w:cs="Arial" w:eastAsia="Arial" w:hAnsi="Arial"/>
          <w:b w:val="0"/>
          <w:i w:val="0"/>
          <w:smallCaps w:val="0"/>
          <w:strike w:val="0"/>
          <w:color w:val="000000"/>
          <w:sz w:val="18"/>
          <w:szCs w:val="18"/>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specifications, variations in these characteristics may occur.</w:t>
      </w:r>
      <w:r w:rsidDel="00000000" w:rsidR="00000000" w:rsidRPr="00000000">
        <w:rPr>
          <w:rtl w:val="0"/>
        </w:rPr>
      </w:r>
    </w:p>
    <w:p w:rsidR="00000000" w:rsidDel="00000000" w:rsidP="00000000" w:rsidRDefault="00000000" w:rsidRPr="00000000" w14:paraId="00000043">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Performance claims </w:t>
      </w:r>
    </w:p>
    <w:p w:rsidR="00000000" w:rsidDel="00000000" w:rsidP="00000000" w:rsidRDefault="00000000" w:rsidRPr="00000000" w14:paraId="0000004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API SP</w:t>
      </w:r>
    </w:p>
    <w:p w:rsidR="00000000" w:rsidDel="00000000" w:rsidP="00000000" w:rsidRDefault="00000000" w:rsidRPr="00000000" w14:paraId="000000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C2-21</w:t>
      </w:r>
    </w:p>
    <w:p w:rsidR="00000000" w:rsidDel="00000000" w:rsidP="00000000" w:rsidRDefault="00000000" w:rsidRPr="00000000" w14:paraId="0000004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Chrysler MS-6395</w:t>
      </w:r>
    </w:p>
    <w:p w:rsidR="00000000" w:rsidDel="00000000" w:rsidP="00000000" w:rsidRDefault="00000000" w:rsidRPr="00000000" w14:paraId="0000004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Ford WSS-M2C 960-A1</w:t>
      </w:r>
    </w:p>
    <w:p w:rsidR="00000000" w:rsidDel="00000000" w:rsidP="00000000" w:rsidRDefault="00000000" w:rsidRPr="00000000" w14:paraId="0000004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Ford WSS-M2C 945-B1</w:t>
      </w:r>
    </w:p>
    <w:p w:rsidR="00000000" w:rsidDel="00000000" w:rsidP="00000000" w:rsidRDefault="00000000" w:rsidRPr="00000000" w14:paraId="0000004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GM dexos1 Gen 3</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B">
      <w:pPr>
        <w:numPr>
          <w:ilvl w:val="0"/>
          <w:numId w:val="1"/>
        </w:numPr>
        <w:shd w:fill="ffffff" w:val="clear"/>
        <w:spacing w:after="0" w:line="276" w:lineRule="auto"/>
        <w:ind w:left="360"/>
        <w:rPr>
          <w:rFonts w:ascii="Arial" w:cs="Arial" w:eastAsia="Arial" w:hAnsi="Arial"/>
          <w:color w:val="ff0000"/>
        </w:rPr>
      </w:pPr>
      <w:r w:rsidDel="00000000" w:rsidR="00000000" w:rsidRPr="00000000">
        <w:rPr>
          <w:rFonts w:ascii="Arial" w:cs="Arial" w:eastAsia="Arial" w:hAnsi="Arial"/>
          <w:color w:val="ff0000"/>
          <w:rtl w:val="0"/>
        </w:rPr>
        <w:t xml:space="preserve">API SN/CF</w:t>
      </w:r>
    </w:p>
    <w:p w:rsidR="00000000" w:rsidDel="00000000" w:rsidP="00000000" w:rsidRDefault="00000000" w:rsidRPr="00000000" w14:paraId="0000004C">
      <w:pPr>
        <w:numPr>
          <w:ilvl w:val="0"/>
          <w:numId w:val="1"/>
        </w:numPr>
        <w:shd w:fill="ffffff" w:val="clear"/>
        <w:spacing w:after="0" w:line="276" w:lineRule="auto"/>
        <w:ind w:left="360"/>
        <w:rPr>
          <w:rFonts w:ascii="Arial" w:cs="Arial" w:eastAsia="Arial" w:hAnsi="Arial"/>
          <w:color w:val="ff0000"/>
        </w:rPr>
      </w:pPr>
      <w:r w:rsidDel="00000000" w:rsidR="00000000" w:rsidRPr="00000000">
        <w:rPr>
          <w:rFonts w:ascii="Arial" w:cs="Arial" w:eastAsia="Arial" w:hAnsi="Arial"/>
          <w:color w:val="ff0000"/>
          <w:rtl w:val="0"/>
        </w:rPr>
        <w:t xml:space="preserve">ACEA A3/B4</w:t>
      </w:r>
    </w:p>
    <w:p w:rsidR="00000000" w:rsidDel="00000000" w:rsidP="00000000" w:rsidRDefault="00000000" w:rsidRPr="00000000" w14:paraId="0000004D">
      <w:pPr>
        <w:numPr>
          <w:ilvl w:val="0"/>
          <w:numId w:val="1"/>
        </w:numPr>
        <w:shd w:fill="ffffff" w:val="clear"/>
        <w:spacing w:after="0" w:line="276" w:lineRule="auto"/>
        <w:ind w:left="360"/>
        <w:rPr>
          <w:rFonts w:ascii="Arial" w:cs="Arial" w:eastAsia="Arial" w:hAnsi="Arial"/>
          <w:color w:val="ff0000"/>
        </w:rPr>
      </w:pPr>
      <w:r w:rsidDel="00000000" w:rsidR="00000000" w:rsidRPr="00000000">
        <w:rPr>
          <w:rFonts w:ascii="Arial" w:cs="Arial" w:eastAsia="Arial" w:hAnsi="Arial"/>
          <w:color w:val="ff0000"/>
          <w:rtl w:val="0"/>
        </w:rPr>
        <w:t xml:space="preserve">MB 229.3/229.5</w:t>
      </w:r>
    </w:p>
    <w:p w:rsidR="00000000" w:rsidDel="00000000" w:rsidP="00000000" w:rsidRDefault="00000000" w:rsidRPr="00000000" w14:paraId="0000004E">
      <w:pPr>
        <w:numPr>
          <w:ilvl w:val="0"/>
          <w:numId w:val="1"/>
        </w:numPr>
        <w:shd w:fill="ffffff" w:val="clear"/>
        <w:spacing w:after="0" w:line="276" w:lineRule="auto"/>
        <w:ind w:left="360"/>
        <w:rPr>
          <w:rFonts w:ascii="Arial" w:cs="Arial" w:eastAsia="Arial" w:hAnsi="Arial"/>
          <w:color w:val="ff0000"/>
        </w:rPr>
      </w:pPr>
      <w:r w:rsidDel="00000000" w:rsidR="00000000" w:rsidRPr="00000000">
        <w:rPr>
          <w:rFonts w:ascii="Arial" w:cs="Arial" w:eastAsia="Arial" w:hAnsi="Arial"/>
          <w:color w:val="ff0000"/>
          <w:rtl w:val="0"/>
        </w:rPr>
        <w:t xml:space="preserve">VW 502 00/505 00</w:t>
      </w:r>
    </w:p>
    <w:p w:rsidR="00000000" w:rsidDel="00000000" w:rsidP="00000000" w:rsidRDefault="00000000" w:rsidRPr="00000000" w14:paraId="0000004F">
      <w:pPr>
        <w:numPr>
          <w:ilvl w:val="0"/>
          <w:numId w:val="1"/>
        </w:numPr>
        <w:shd w:fill="ffffff" w:val="clear"/>
        <w:spacing w:after="0" w:line="276" w:lineRule="auto"/>
        <w:ind w:left="360"/>
        <w:rPr>
          <w:rFonts w:ascii="Arial" w:cs="Arial" w:eastAsia="Arial" w:hAnsi="Arial"/>
          <w:color w:val="ff0000"/>
        </w:rPr>
      </w:pPr>
      <w:r w:rsidDel="00000000" w:rsidR="00000000" w:rsidRPr="00000000">
        <w:rPr>
          <w:rFonts w:ascii="Arial" w:cs="Arial" w:eastAsia="Arial" w:hAnsi="Arial"/>
          <w:color w:val="ff0000"/>
          <w:rtl w:val="0"/>
        </w:rPr>
        <w:t xml:space="preserve">RN 0710/0700</w:t>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color w:val="c00000"/>
          <w:rtl w:val="0"/>
        </w:rPr>
        <w:t xml:space="preserve">Health</w:t>
      </w: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 Safety &amp; Environment</w:t>
      </w:r>
    </w:p>
    <w:p w:rsidR="00000000" w:rsidDel="00000000" w:rsidP="00000000" w:rsidRDefault="00000000" w:rsidRPr="00000000" w14:paraId="0000005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36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Health and Safety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product is unlikely to present any significant health or safety hazard when properly used in the recommended application, and good standards of industrial and personal hygiene are maintained. </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70c0"/>
          <w:sz w:val="20"/>
          <w:szCs w:val="20"/>
          <w:u w:val="singl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further guidance on Product Health &amp; Safety refer to the appropriate Safety Data Sheet which can be obtained upon request or through our website: </w:t>
      </w:r>
      <w:hyperlink r:id="rId7">
        <w:r w:rsidDel="00000000" w:rsidR="00000000" w:rsidRPr="00000000">
          <w:rPr>
            <w:rFonts w:ascii="Arial" w:cs="Arial" w:eastAsia="Arial" w:hAnsi="Arial"/>
            <w:b w:val="0"/>
            <w:i w:val="0"/>
            <w:smallCaps w:val="0"/>
            <w:strike w:val="0"/>
            <w:color w:val="0563c1"/>
            <w:sz w:val="20"/>
            <w:szCs w:val="20"/>
            <w:u w:val="single"/>
            <w:shd w:fill="auto" w:val="clear"/>
            <w:vertAlign w:val="baseline"/>
            <w:rtl w:val="0"/>
          </w:rPr>
          <w:t xml:space="preserve">www.aminol.az</w:t>
        </w:r>
      </w:hyperlink>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Protect the Environment </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6" w:right="0" w:firstLine="0"/>
        <w:jc w:val="both"/>
        <w:rPr>
          <w:rFonts w:ascii="Arial" w:cs="Arial" w:eastAsia="Arial" w:hAnsi="Arial"/>
          <w:b w:val="1"/>
          <w:color w:val="c00000"/>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Take used oil to an authorized collection point. Do not discharge into drains, soil or water.</w:t>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sectPr>
          <w:headerReference r:id="rId8" w:type="default"/>
          <w:footerReference r:id="rId9" w:type="default"/>
          <w:pgSz w:h="15840" w:w="12240" w:orient="portrait"/>
          <w:pgMar w:bottom="1418" w:top="1440" w:left="1440" w:right="1440" w:header="708" w:footer="441"/>
          <w:pgNumType w:start="1"/>
        </w:sect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Available pack sizes</w:t>
      </w:r>
    </w:p>
    <w:p w:rsidR="00000000" w:rsidDel="00000000" w:rsidP="00000000" w:rsidRDefault="00000000" w:rsidRPr="00000000" w14:paraId="0000005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L Canister plastic</w:t>
      </w:r>
    </w:p>
    <w:p w:rsidR="00000000" w:rsidDel="00000000" w:rsidP="00000000" w:rsidRDefault="00000000" w:rsidRPr="00000000" w14:paraId="0000005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 L Canister plastic</w:t>
      </w:r>
    </w:p>
    <w:p w:rsidR="00000000" w:rsidDel="00000000" w:rsidP="00000000" w:rsidRDefault="00000000" w:rsidRPr="00000000" w14:paraId="0000005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 L Canister plastic</w:t>
      </w:r>
    </w:p>
    <w:p w:rsidR="00000000" w:rsidDel="00000000" w:rsidP="00000000" w:rsidRDefault="00000000" w:rsidRPr="00000000" w14:paraId="0000005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 L Canister plastic</w:t>
      </w:r>
    </w:p>
    <w:p w:rsidR="00000000" w:rsidDel="00000000" w:rsidP="00000000" w:rsidRDefault="00000000" w:rsidRPr="00000000" w14:paraId="0000005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200 L Drum sheet metal</w:t>
      </w:r>
    </w:p>
    <w:p w:rsidR="00000000" w:rsidDel="00000000" w:rsidP="00000000" w:rsidRDefault="00000000" w:rsidRPr="00000000" w14:paraId="0000005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sectPr>
          <w:type w:val="continuous"/>
          <w:pgSz w:h="15840" w:w="12240" w:orient="portrait"/>
          <w:pgMar w:bottom="1418" w:top="1440" w:left="1440" w:right="1440" w:header="708" w:footer="441"/>
          <w:cols w:equalWidth="0" w:num="2">
            <w:col w:space="708" w:w="4326"/>
            <w:col w:space="0" w:w="4326"/>
          </w:cols>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1000 L Container</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Storage</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 recommend to store all packages under cover. </w:t>
      </w:r>
    </w:p>
    <w:p w:rsidR="00000000" w:rsidDel="00000000" w:rsidP="00000000" w:rsidRDefault="00000000" w:rsidRPr="00000000" w14:paraId="0000006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Where outside storage is unavoidable drums should be laid horizontally to avoid the possible ingress of water and damage to drum markings.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6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Products should not be stored above 60 °C, exposed to hot sun or freezing conditions.</w:t>
      </w:r>
      <w:r w:rsidDel="00000000" w:rsidR="00000000" w:rsidRPr="00000000">
        <w:rPr>
          <w:rtl w:val="0"/>
        </w:rPr>
      </w:r>
    </w:p>
    <w:p w:rsidR="00000000" w:rsidDel="00000000" w:rsidP="00000000" w:rsidRDefault="00000000" w:rsidRPr="00000000" w14:paraId="00000066">
      <w:pPr>
        <w:jc w:val="both"/>
        <w:rPr>
          <w:rFonts w:ascii="Arial" w:cs="Arial" w:eastAsia="Arial" w:hAnsi="Arial"/>
          <w:color w:val="c00000"/>
        </w:rPr>
      </w:pPr>
      <w:r w:rsidDel="00000000" w:rsidR="00000000" w:rsidRPr="00000000">
        <w:rPr>
          <w:rFonts w:ascii="Arial" w:cs="Arial" w:eastAsia="Arial" w:hAnsi="Arial"/>
          <w:b w:val="1"/>
          <w:color w:val="c00000"/>
          <w:rtl w:val="0"/>
        </w:rPr>
        <w:t xml:space="preserve">Notes</w:t>
      </w:r>
      <w:r w:rsidDel="00000000" w:rsidR="00000000" w:rsidRPr="00000000">
        <w:rPr>
          <w:rtl w:val="0"/>
        </w:rPr>
      </w:r>
    </w:p>
    <w:p w:rsidR="00000000" w:rsidDel="00000000" w:rsidP="00000000" w:rsidRDefault="00000000" w:rsidRPr="00000000" w14:paraId="00000067">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This data sheet and the information it contains is believed to be accurate as of the date of printing. However, no warranty or representation, express or implied, is made as to its accuracy or completeness. Data provided is based on standard tests under laboratory conditions and is given as a guide only. Users are advised to ensure that they refer to the latest version of this data sheet. It is the responsibility of the user to 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sales specialists if you require any further information.</w:t>
      </w:r>
    </w:p>
    <w:p w:rsidR="00000000" w:rsidDel="00000000" w:rsidP="00000000" w:rsidRDefault="00000000" w:rsidRPr="00000000" w14:paraId="00000068">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9">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A">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B">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C">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D">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E">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4361173</wp:posOffset>
            </wp:positionH>
            <wp:positionV relativeFrom="paragraph">
              <wp:posOffset>37465</wp:posOffset>
            </wp:positionV>
            <wp:extent cx="1582427" cy="990600"/>
            <wp:effectExtent b="0" l="0" r="0" t="0"/>
            <wp:wrapNone/>
            <wp:docPr id="20"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1582427" cy="990600"/>
                    </a:xfrm>
                    <a:prstGeom prst="rect"/>
                    <a:ln/>
                  </pic:spPr>
                </pic:pic>
              </a:graphicData>
            </a:graphic>
          </wp:anchor>
        </w:drawing>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2016-2022 | All rights reserved </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logos and trademarks used herein are properties owned by ALCO LLC.</w:t>
      </w:r>
    </w:p>
    <w:sectPr>
      <w:type w:val="continuous"/>
      <w:pgSz w:h="15840" w:w="12240" w:orient="portrait"/>
      <w:pgMar w:bottom="1418" w:top="1440" w:left="1440" w:right="1440" w:header="708" w:footer="44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ALCO LLC</w:t>
    </w:r>
    <w:r w:rsidDel="00000000" w:rsidR="00000000" w:rsidRPr="00000000">
      <w:drawing>
        <wp:anchor allowOverlap="1" behindDoc="0" distB="0" distT="0" distL="114300" distR="114300" hidden="0" layoutInCell="1" locked="0" relativeHeight="0" simplePos="0">
          <wp:simplePos x="0" y="0"/>
          <wp:positionH relativeFrom="column">
            <wp:posOffset>866775</wp:posOffset>
          </wp:positionH>
          <wp:positionV relativeFrom="paragraph">
            <wp:posOffset>140335</wp:posOffset>
          </wp:positionV>
          <wp:extent cx="133350" cy="133350"/>
          <wp:effectExtent b="0" l="0" r="0" t="0"/>
          <wp:wrapNone/>
          <wp:docPr descr="Marker" id="18" name="image4.png"/>
          <a:graphic>
            <a:graphicData uri="http://schemas.openxmlformats.org/drawingml/2006/picture">
              <pic:pic>
                <pic:nvPicPr>
                  <pic:cNvPr descr="Marker" id="0" name="image4.png"/>
                  <pic:cNvPicPr preferRelativeResize="0"/>
                </pic:nvPicPr>
                <pic:blipFill>
                  <a:blip r:embed="rId1"/>
                  <a:srcRect b="0" l="0" r="0" t="0"/>
                  <a:stretch>
                    <a:fillRect/>
                  </a:stretch>
                </pic:blipFill>
                <pic:spPr>
                  <a:xfrm>
                    <a:off x="0" y="0"/>
                    <a:ext cx="133350" cy="133350"/>
                  </a:xfrm>
                  <a:prstGeom prst="rect"/>
                  <a:ln/>
                </pic:spPr>
              </pic:pic>
            </a:graphicData>
          </a:graphic>
        </wp:anchor>
      </w:drawing>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Address: 3, Vali Mammadov st., Sabail dist., Baku, Azerbaijan, AZ1095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-38099</wp:posOffset>
          </wp:positionH>
          <wp:positionV relativeFrom="paragraph">
            <wp:posOffset>147320</wp:posOffset>
          </wp:positionV>
          <wp:extent cx="114300" cy="114300"/>
          <wp:effectExtent b="0" l="0" r="0" t="0"/>
          <wp:wrapNone/>
          <wp:docPr descr="Open envelope" id="21" name="image3.png"/>
          <a:graphic>
            <a:graphicData uri="http://schemas.openxmlformats.org/drawingml/2006/picture">
              <pic:pic>
                <pic:nvPicPr>
                  <pic:cNvPr descr="Open envelope" id="0" name="image3.png"/>
                  <pic:cNvPicPr preferRelativeResize="0"/>
                </pic:nvPicPr>
                <pic:blipFill>
                  <a:blip r:embed="rId2"/>
                  <a:srcRect b="0" l="0" r="0" t="0"/>
                  <a:stretch>
                    <a:fillRect/>
                  </a:stretch>
                </pic:blipFill>
                <pic:spPr>
                  <a:xfrm>
                    <a:off x="0" y="0"/>
                    <a:ext cx="114300" cy="114300"/>
                  </a:xfrm>
                  <a:prstGeom prst="rect"/>
                  <a:ln/>
                </pic:spPr>
              </pic:pic>
            </a:graphicData>
          </a:graphic>
        </wp:anchor>
      </w:drawing>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Email: info@aminol.az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4003003</wp:posOffset>
          </wp:positionH>
          <wp:positionV relativeFrom="paragraph">
            <wp:posOffset>4445</wp:posOffset>
          </wp:positionV>
          <wp:extent cx="1940597" cy="752475"/>
          <wp:effectExtent b="0" l="0" r="0" t="0"/>
          <wp:wrapNone/>
          <wp:docPr id="19"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940597" cy="752475"/>
                  </a:xfrm>
                  <a:prstGeom prst="rect"/>
                  <a:ln/>
                </pic:spPr>
              </pic:pic>
            </a:graphicData>
          </a:graphic>
        </wp:anchor>
      </w:drawing>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Form No.: 002-EN</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Issue date:15.12.2022</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PDS No.: AL/EO-P-0014/01</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455531"/>
    <w:pPr>
      <w:spacing w:after="100" w:afterAutospacing="1" w:before="100" w:beforeAutospacing="1" w:line="240" w:lineRule="auto"/>
    </w:pPr>
    <w:rPr>
      <w:rFonts w:ascii="Times New Roman" w:cs="Times New Roman" w:eastAsia="Times New Roman" w:hAnsi="Times New Roman"/>
      <w:sz w:val="24"/>
      <w:szCs w:val="24"/>
    </w:rPr>
  </w:style>
  <w:style w:type="paragraph" w:styleId="ListParagraph">
    <w:name w:val="List Paragraph"/>
    <w:basedOn w:val="Normal"/>
    <w:uiPriority w:val="34"/>
    <w:qFormat w:val="1"/>
    <w:rsid w:val="00455531"/>
    <w:pPr>
      <w:ind w:left="720"/>
      <w:contextualSpacing w:val="1"/>
    </w:pPr>
  </w:style>
  <w:style w:type="table" w:styleId="TableGrid">
    <w:name w:val="Table Grid"/>
    <w:basedOn w:val="TableNormal"/>
    <w:uiPriority w:val="1"/>
    <w:rsid w:val="006A5F1C"/>
    <w:pPr>
      <w:spacing w:after="0" w:line="240" w:lineRule="auto"/>
    </w:pPr>
    <w:rPr>
      <w:rFonts w:eastAsiaTheme="minorEastAsia"/>
      <w:lang w:eastAsia="ja-JP"/>
    </w:r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Header">
    <w:name w:val="header"/>
    <w:basedOn w:val="Normal"/>
    <w:link w:val="HeaderChar"/>
    <w:uiPriority w:val="99"/>
    <w:unhideWhenUsed w:val="1"/>
    <w:rsid w:val="00314087"/>
    <w:pPr>
      <w:tabs>
        <w:tab w:val="center" w:pos="4680"/>
        <w:tab w:val="right" w:pos="9360"/>
      </w:tabs>
      <w:spacing w:after="0" w:line="240" w:lineRule="auto"/>
    </w:pPr>
  </w:style>
  <w:style w:type="character" w:styleId="HeaderChar" w:customStyle="1">
    <w:name w:val="Header Char"/>
    <w:basedOn w:val="DefaultParagraphFont"/>
    <w:link w:val="Header"/>
    <w:uiPriority w:val="99"/>
    <w:rsid w:val="00314087"/>
  </w:style>
  <w:style w:type="paragraph" w:styleId="Footer">
    <w:name w:val="footer"/>
    <w:basedOn w:val="Normal"/>
    <w:link w:val="FooterChar"/>
    <w:uiPriority w:val="99"/>
    <w:unhideWhenUsed w:val="1"/>
    <w:rsid w:val="00314087"/>
    <w:pPr>
      <w:tabs>
        <w:tab w:val="center" w:pos="4680"/>
        <w:tab w:val="right" w:pos="9360"/>
      </w:tabs>
      <w:spacing w:after="0" w:line="240" w:lineRule="auto"/>
    </w:pPr>
  </w:style>
  <w:style w:type="character" w:styleId="FooterChar" w:customStyle="1">
    <w:name w:val="Footer Char"/>
    <w:basedOn w:val="DefaultParagraphFont"/>
    <w:link w:val="Footer"/>
    <w:uiPriority w:val="99"/>
    <w:rsid w:val="00314087"/>
  </w:style>
  <w:style w:type="table" w:styleId="TableNormal1" w:customStyle="1">
    <w:name w:val="Table Normal1"/>
    <w:uiPriority w:val="2"/>
    <w:semiHidden w:val="1"/>
    <w:unhideWhenUsed w:val="1"/>
    <w:qFormat w:val="1"/>
    <w:rsid w:val="0079046D"/>
    <w:pPr>
      <w:widowControl w:val="0"/>
      <w:autoSpaceDE w:val="0"/>
      <w:autoSpaceDN w:val="0"/>
      <w:spacing w:after="0" w:line="240" w:lineRule="auto"/>
    </w:pPr>
    <w:tblPr>
      <w:tblInd w:w="0.0" w:type="dxa"/>
      <w:tblCellMar>
        <w:top w:w="0.0" w:type="dxa"/>
        <w:left w:w="0.0" w:type="dxa"/>
        <w:bottom w:w="0.0" w:type="dxa"/>
        <w:right w:w="0.0" w:type="dxa"/>
      </w:tblCellMar>
    </w:tblPr>
  </w:style>
  <w:style w:type="paragraph" w:styleId="TableParagraph" w:customStyle="1">
    <w:name w:val="Table Paragraph"/>
    <w:basedOn w:val="Normal"/>
    <w:uiPriority w:val="1"/>
    <w:qFormat w:val="1"/>
    <w:rsid w:val="0079046D"/>
    <w:pPr>
      <w:widowControl w:val="0"/>
      <w:autoSpaceDE w:val="0"/>
      <w:autoSpaceDN w:val="0"/>
      <w:spacing w:after="0" w:line="240" w:lineRule="auto"/>
    </w:pPr>
    <w:rPr>
      <w:rFonts w:ascii="Verdana" w:cs="Verdana" w:eastAsia="Verdana" w:hAnsi="Verdana"/>
    </w:rPr>
  </w:style>
  <w:style w:type="character" w:styleId="Hyperlink">
    <w:name w:val="Hyperlink"/>
    <w:basedOn w:val="DefaultParagraphFont"/>
    <w:uiPriority w:val="99"/>
    <w:unhideWhenUsed w:val="1"/>
    <w:rsid w:val="00714220"/>
    <w:rPr>
      <w:color w:val="0563c1" w:themeColor="hyperlink"/>
      <w:u w:val="single"/>
    </w:rPr>
  </w:style>
  <w:style w:type="character" w:styleId="UnresolvedMention1" w:customStyle="1">
    <w:name w:val="Unresolved Mention1"/>
    <w:basedOn w:val="DefaultParagraphFont"/>
    <w:uiPriority w:val="99"/>
    <w:semiHidden w:val="1"/>
    <w:unhideWhenUsed w:val="1"/>
    <w:rsid w:val="00714220"/>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aminol.az"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Fva8lv0RSTHYiQpbSZBvlOSx12A==">CgMxLjAyCGguZ2pkZ3hzOAByITFhYmhvYmI4NFJtWmg1V3daODJJdTJObnJ0VE1zeDNkeg==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2023-08-30T10:38:00Z</dcterms:created>
  <dc:creator>Gismat Abbasov</dc:creator>
</cp:coreProperties>
</file>