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SPG5</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SPG5 10W-30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SPG5 10W-30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420"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146</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0.864</w:t>
            </w:r>
          </w:p>
        </w:tc>
      </w:tr>
    </w:tbl>
    <w:p w:rsidR="00000000" w:rsidDel="00000000" w:rsidP="00000000" w:rsidRDefault="00000000" w:rsidRPr="00000000" w14:paraId="00000041">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MB-229.1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501.00/505.00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3">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spacing w:after="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AL/EO-P-0015/02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aN7LJf0ndcqTYLFBVcT5qEjNA==">CgMxLjAyCGguZ2pkZ3hzOAByITF2Z08tRUJMVmFybGQ2NGwxNmxhRVphYVhDSzJDTzlUdg==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2023-08-30T10:45:00Z</dcterms:created>
  <dc:creator>Gismat Abbasov</dc:creator>
</cp:coreProperties>
</file>