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SPG7</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276"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SPG7 0W-40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SPG7 0W-40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3"/>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3"/>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3"/>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3"/>
        </w:numPr>
        <w:shd w:fill="ffffff" w:val="clear"/>
        <w:spacing w:after="0" w:line="276" w:lineRule="auto"/>
        <w:ind w:left="284" w:hanging="36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3"/>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0.843</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9">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A">
      <w:pPr>
        <w:numPr>
          <w:ilvl w:val="0"/>
          <w:numId w:val="2"/>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AL/EO-P-0017/03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4qoQmXGoLSShua5p0FNbvjQbw==">CgMxLjAyCGguZ2pkZ3hzMghoLmdqZGd4czgAciExWjkzaWdNYkpHVUZJV2I1S3QtM2xLUllRcmpWS01Tck8=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2023-08-31T13:08:00Z</dcterms:created>
  <dc:creator>Gismat Abbasov</dc:creator>
</cp:coreProperties>
</file>