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5A78DB5"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C853C7" w:rsidRPr="00C853C7">
        <w:rPr>
          <w:rFonts w:ascii="Arial" w:hAnsi="Arial" w:cs="Arial"/>
          <w:b/>
          <w:bCs/>
          <w:color w:val="000000" w:themeColor="text1"/>
          <w:sz w:val="32"/>
          <w:szCs w:val="32"/>
        </w:rPr>
        <w:t>Litol 24</w:t>
      </w:r>
    </w:p>
    <w:p w14:paraId="68A48432" w14:textId="0A7072D2" w:rsidR="008E7723" w:rsidRPr="008E7723" w:rsidRDefault="008E7723" w:rsidP="00AF62B9">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Grease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9178A4D" w14:textId="41A07093" w:rsidR="00510002" w:rsidRDefault="00C853C7" w:rsidP="00EE6E30">
      <w:pPr>
        <w:shd w:val="clear" w:color="auto" w:fill="FFFFFF"/>
        <w:spacing w:after="0" w:line="276" w:lineRule="auto"/>
        <w:rPr>
          <w:rFonts w:ascii="Arial" w:eastAsia="Times New Roman" w:hAnsi="Arial" w:cs="Arial"/>
          <w:color w:val="000000" w:themeColor="text1"/>
          <w:sz w:val="20"/>
          <w:szCs w:val="20"/>
        </w:rPr>
      </w:pPr>
      <w:r w:rsidRPr="00C853C7">
        <w:rPr>
          <w:rFonts w:ascii="Arial" w:eastAsia="Times New Roman" w:hAnsi="Arial" w:cs="Arial"/>
          <w:color w:val="000000" w:themeColor="text1"/>
          <w:sz w:val="20"/>
          <w:szCs w:val="20"/>
        </w:rPr>
        <w:t>Aminol™ Litol 24 is a multipurpose waterproof industrial grease thickened by with technical lithium soap of 12-hydroxystearic acid. It provides reliable performance in a wide temperature, load and speed range due to high dropping point, good water resistance and shear stability.</w:t>
      </w:r>
    </w:p>
    <w:p w14:paraId="430B967D" w14:textId="77777777" w:rsidR="00C853C7" w:rsidRDefault="00C853C7"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B41AA66" w14:textId="4F0CB1CB" w:rsidR="004C7E56" w:rsidRPr="00CE4FDF" w:rsidRDefault="0050238A" w:rsidP="00CE4FDF">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98BC14C"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Excellent protection against wear, rust, and corrosion</w:t>
      </w:r>
    </w:p>
    <w:p w14:paraId="3183832C"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Highly resistant to water washout</w:t>
      </w:r>
    </w:p>
    <w:p w14:paraId="1D4C0933"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Superior mechanical stability</w:t>
      </w:r>
    </w:p>
    <w:p w14:paraId="0909B7AE"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Consistent performance over a wide range of temperatures and operating conditions</w:t>
      </w:r>
    </w:p>
    <w:p w14:paraId="54D852FF"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Exceptional adhesive properties</w:t>
      </w:r>
    </w:p>
    <w:p w14:paraId="35C314BD" w14:textId="0FF89CCF" w:rsidR="00510002"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Better pumpability, allowing for easy application and distribution</w:t>
      </w:r>
    </w:p>
    <w:p w14:paraId="4FA462E0" w14:textId="77777777" w:rsidR="00C853C7" w:rsidRPr="00C853C7" w:rsidRDefault="00C853C7" w:rsidP="00C853C7">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tbl>
      <w:tblPr>
        <w:tblW w:w="11740" w:type="dxa"/>
        <w:tblLook w:val="04A0" w:firstRow="1" w:lastRow="0" w:firstColumn="1" w:lastColumn="0" w:noHBand="0" w:noVBand="1"/>
      </w:tblPr>
      <w:tblGrid>
        <w:gridCol w:w="6060"/>
        <w:gridCol w:w="2420"/>
        <w:gridCol w:w="1600"/>
        <w:gridCol w:w="1660"/>
      </w:tblGrid>
      <w:tr w:rsidR="00CE4FDF" w:rsidRPr="00CE4FDF" w14:paraId="79D1E90E" w14:textId="77777777" w:rsidTr="00CE4FDF">
        <w:trPr>
          <w:trHeight w:val="510"/>
        </w:trPr>
        <w:tc>
          <w:tcPr>
            <w:tcW w:w="60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1B6C498"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Property</w:t>
            </w:r>
          </w:p>
        </w:tc>
        <w:tc>
          <w:tcPr>
            <w:tcW w:w="2420" w:type="dxa"/>
            <w:tcBorders>
              <w:top w:val="single" w:sz="4" w:space="0" w:color="auto"/>
              <w:left w:val="nil"/>
              <w:bottom w:val="single" w:sz="4" w:space="0" w:color="auto"/>
              <w:right w:val="single" w:sz="4" w:space="0" w:color="auto"/>
            </w:tcBorders>
            <w:shd w:val="clear" w:color="000000" w:fill="F2F2F2"/>
            <w:vAlign w:val="center"/>
            <w:hideMark/>
          </w:tcPr>
          <w:p w14:paraId="4BA0C1E0"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Unit</w:t>
            </w:r>
          </w:p>
        </w:tc>
        <w:tc>
          <w:tcPr>
            <w:tcW w:w="1600" w:type="dxa"/>
            <w:tcBorders>
              <w:top w:val="single" w:sz="4" w:space="0" w:color="auto"/>
              <w:left w:val="nil"/>
              <w:bottom w:val="single" w:sz="4" w:space="0" w:color="auto"/>
              <w:right w:val="single" w:sz="4" w:space="0" w:color="auto"/>
            </w:tcBorders>
            <w:shd w:val="clear" w:color="000000" w:fill="F2F2F2"/>
            <w:vAlign w:val="center"/>
            <w:hideMark/>
          </w:tcPr>
          <w:p w14:paraId="713A933A"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Test method</w:t>
            </w:r>
          </w:p>
        </w:tc>
        <w:tc>
          <w:tcPr>
            <w:tcW w:w="1660" w:type="dxa"/>
            <w:tcBorders>
              <w:top w:val="single" w:sz="4" w:space="0" w:color="auto"/>
              <w:left w:val="nil"/>
              <w:bottom w:val="single" w:sz="4" w:space="0" w:color="auto"/>
              <w:right w:val="single" w:sz="4" w:space="0" w:color="auto"/>
            </w:tcBorders>
            <w:shd w:val="clear" w:color="000000" w:fill="F2F2F2"/>
            <w:vAlign w:val="center"/>
            <w:hideMark/>
          </w:tcPr>
          <w:p w14:paraId="6F2F04A4"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Typical value</w:t>
            </w:r>
          </w:p>
        </w:tc>
      </w:tr>
      <w:tr w:rsidR="00CE4FDF" w:rsidRPr="00CE4FDF" w14:paraId="0A9A0918"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E6CA6E" w14:textId="77777777" w:rsidR="00CE4FDF" w:rsidRPr="00CE4FDF" w:rsidRDefault="00CE4FDF" w:rsidP="00CE4FDF">
            <w:pPr>
              <w:spacing w:after="0" w:line="240" w:lineRule="auto"/>
              <w:rPr>
                <w:rFonts w:ascii="Calibri" w:eastAsia="Times New Roman" w:hAnsi="Calibri" w:cs="Calibri"/>
                <w:color w:val="000000"/>
              </w:rPr>
            </w:pPr>
            <w:r w:rsidRPr="00CE4FDF">
              <w:rPr>
                <w:rFonts w:ascii="Calibri" w:eastAsia="Times New Roman" w:hAnsi="Calibri" w:cs="Calibri"/>
                <w:color w:val="000000"/>
              </w:rPr>
              <w:t>NLGI class</w:t>
            </w:r>
          </w:p>
        </w:tc>
        <w:tc>
          <w:tcPr>
            <w:tcW w:w="2420" w:type="dxa"/>
            <w:tcBorders>
              <w:top w:val="nil"/>
              <w:left w:val="nil"/>
              <w:bottom w:val="single" w:sz="4" w:space="0" w:color="auto"/>
              <w:right w:val="single" w:sz="4" w:space="0" w:color="auto"/>
            </w:tcBorders>
            <w:shd w:val="clear" w:color="auto" w:fill="auto"/>
            <w:noWrap/>
            <w:vAlign w:val="center"/>
            <w:hideMark/>
          </w:tcPr>
          <w:p w14:paraId="24F099AE"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w:t>
            </w:r>
          </w:p>
        </w:tc>
        <w:tc>
          <w:tcPr>
            <w:tcW w:w="1600" w:type="dxa"/>
            <w:tcBorders>
              <w:top w:val="nil"/>
              <w:left w:val="nil"/>
              <w:bottom w:val="single" w:sz="4" w:space="0" w:color="auto"/>
              <w:right w:val="single" w:sz="4" w:space="0" w:color="auto"/>
            </w:tcBorders>
            <w:shd w:val="clear" w:color="auto" w:fill="auto"/>
            <w:noWrap/>
            <w:vAlign w:val="center"/>
            <w:hideMark/>
          </w:tcPr>
          <w:p w14:paraId="3D447922"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center"/>
            <w:hideMark/>
          </w:tcPr>
          <w:p w14:paraId="06E7EDCA"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 </w:t>
            </w:r>
          </w:p>
        </w:tc>
      </w:tr>
      <w:tr w:rsidR="00CE4FDF" w:rsidRPr="00CE4FDF" w14:paraId="3BE779C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5BA5B9"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Type of thickener</w:t>
            </w:r>
          </w:p>
        </w:tc>
        <w:tc>
          <w:tcPr>
            <w:tcW w:w="2420" w:type="dxa"/>
            <w:tcBorders>
              <w:top w:val="nil"/>
              <w:left w:val="nil"/>
              <w:bottom w:val="single" w:sz="4" w:space="0" w:color="auto"/>
              <w:right w:val="single" w:sz="4" w:space="0" w:color="auto"/>
            </w:tcBorders>
            <w:shd w:val="clear" w:color="auto" w:fill="auto"/>
            <w:noWrap/>
            <w:vAlign w:val="center"/>
            <w:hideMark/>
          </w:tcPr>
          <w:p w14:paraId="20F1996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6F96CD2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0749F923"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9BD4A2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377467"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Color </w:t>
            </w:r>
          </w:p>
        </w:tc>
        <w:tc>
          <w:tcPr>
            <w:tcW w:w="2420" w:type="dxa"/>
            <w:tcBorders>
              <w:top w:val="nil"/>
              <w:left w:val="nil"/>
              <w:bottom w:val="single" w:sz="4" w:space="0" w:color="auto"/>
              <w:right w:val="single" w:sz="4" w:space="0" w:color="auto"/>
            </w:tcBorders>
            <w:shd w:val="clear" w:color="auto" w:fill="auto"/>
            <w:noWrap/>
            <w:vAlign w:val="center"/>
            <w:hideMark/>
          </w:tcPr>
          <w:p w14:paraId="7C79543A"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55A139D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2534E83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4CE9148D"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D31255"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Droppring Point</w:t>
            </w:r>
          </w:p>
        </w:tc>
        <w:tc>
          <w:tcPr>
            <w:tcW w:w="2420" w:type="dxa"/>
            <w:tcBorders>
              <w:top w:val="nil"/>
              <w:left w:val="nil"/>
              <w:bottom w:val="single" w:sz="4" w:space="0" w:color="auto"/>
              <w:right w:val="single" w:sz="4" w:space="0" w:color="auto"/>
            </w:tcBorders>
            <w:shd w:val="clear" w:color="auto" w:fill="auto"/>
            <w:noWrap/>
            <w:vAlign w:val="center"/>
            <w:hideMark/>
          </w:tcPr>
          <w:p w14:paraId="5573486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 °C</w:t>
            </w:r>
          </w:p>
        </w:tc>
        <w:tc>
          <w:tcPr>
            <w:tcW w:w="1600" w:type="dxa"/>
            <w:tcBorders>
              <w:top w:val="nil"/>
              <w:left w:val="nil"/>
              <w:bottom w:val="single" w:sz="4" w:space="0" w:color="auto"/>
              <w:right w:val="single" w:sz="4" w:space="0" w:color="auto"/>
            </w:tcBorders>
            <w:shd w:val="clear" w:color="auto" w:fill="auto"/>
            <w:noWrap/>
            <w:vAlign w:val="center"/>
            <w:hideMark/>
          </w:tcPr>
          <w:p w14:paraId="42AE800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6793</w:t>
            </w:r>
          </w:p>
        </w:tc>
        <w:tc>
          <w:tcPr>
            <w:tcW w:w="1660" w:type="dxa"/>
            <w:tcBorders>
              <w:top w:val="nil"/>
              <w:left w:val="nil"/>
              <w:bottom w:val="single" w:sz="4" w:space="0" w:color="auto"/>
              <w:right w:val="single" w:sz="4" w:space="0" w:color="auto"/>
            </w:tcBorders>
            <w:shd w:val="clear" w:color="auto" w:fill="auto"/>
            <w:noWrap/>
            <w:vAlign w:val="center"/>
            <w:hideMark/>
          </w:tcPr>
          <w:p w14:paraId="3B732F44"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326905EB"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C63EB0"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Penetration at 25 °C with mixing</w:t>
            </w:r>
          </w:p>
        </w:tc>
        <w:tc>
          <w:tcPr>
            <w:tcW w:w="2420" w:type="dxa"/>
            <w:tcBorders>
              <w:top w:val="nil"/>
              <w:left w:val="nil"/>
              <w:bottom w:val="single" w:sz="4" w:space="0" w:color="auto"/>
              <w:right w:val="single" w:sz="4" w:space="0" w:color="auto"/>
            </w:tcBorders>
            <w:shd w:val="clear" w:color="auto" w:fill="auto"/>
            <w:noWrap/>
            <w:vAlign w:val="center"/>
            <w:hideMark/>
          </w:tcPr>
          <w:p w14:paraId="645FBB21"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0.1 mm</w:t>
            </w:r>
          </w:p>
        </w:tc>
        <w:tc>
          <w:tcPr>
            <w:tcW w:w="1600" w:type="dxa"/>
            <w:tcBorders>
              <w:top w:val="nil"/>
              <w:left w:val="nil"/>
              <w:bottom w:val="single" w:sz="4" w:space="0" w:color="auto"/>
              <w:right w:val="single" w:sz="4" w:space="0" w:color="auto"/>
            </w:tcBorders>
            <w:shd w:val="clear" w:color="auto" w:fill="auto"/>
            <w:noWrap/>
            <w:vAlign w:val="center"/>
            <w:hideMark/>
          </w:tcPr>
          <w:p w14:paraId="479ACEF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5346</w:t>
            </w:r>
          </w:p>
        </w:tc>
        <w:tc>
          <w:tcPr>
            <w:tcW w:w="1660" w:type="dxa"/>
            <w:tcBorders>
              <w:top w:val="nil"/>
              <w:left w:val="nil"/>
              <w:bottom w:val="single" w:sz="4" w:space="0" w:color="auto"/>
              <w:right w:val="single" w:sz="4" w:space="0" w:color="auto"/>
            </w:tcBorders>
            <w:shd w:val="clear" w:color="auto" w:fill="auto"/>
            <w:noWrap/>
            <w:vAlign w:val="center"/>
            <w:hideMark/>
          </w:tcPr>
          <w:p w14:paraId="190365E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3A34196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14C84A"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Viscosity:</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54700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Pa/s</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5AE91B"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7163</w:t>
            </w:r>
          </w:p>
        </w:tc>
        <w:tc>
          <w:tcPr>
            <w:tcW w:w="1660" w:type="dxa"/>
            <w:tcBorders>
              <w:top w:val="nil"/>
              <w:left w:val="nil"/>
              <w:bottom w:val="single" w:sz="4" w:space="0" w:color="auto"/>
              <w:right w:val="single" w:sz="4" w:space="0" w:color="auto"/>
            </w:tcBorders>
            <w:shd w:val="clear" w:color="auto" w:fill="auto"/>
            <w:noWrap/>
            <w:vAlign w:val="center"/>
            <w:hideMark/>
          </w:tcPr>
          <w:p w14:paraId="36AD878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ECFCE22"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BF97CC"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minus 20 °C and average gradient of strain rate 10 s-1</w:t>
            </w:r>
          </w:p>
        </w:tc>
        <w:tc>
          <w:tcPr>
            <w:tcW w:w="2420" w:type="dxa"/>
            <w:vMerge/>
            <w:tcBorders>
              <w:top w:val="nil"/>
              <w:left w:val="single" w:sz="4" w:space="0" w:color="auto"/>
              <w:bottom w:val="single" w:sz="4" w:space="0" w:color="000000"/>
              <w:right w:val="single" w:sz="4" w:space="0" w:color="auto"/>
            </w:tcBorders>
            <w:vAlign w:val="center"/>
            <w:hideMark/>
          </w:tcPr>
          <w:p w14:paraId="002F7855"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3827F4E0"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6FE9FE5B"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2B00A77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23EFE8"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0 °C and average gradient of strain rate 10 s–1</w:t>
            </w:r>
          </w:p>
        </w:tc>
        <w:tc>
          <w:tcPr>
            <w:tcW w:w="2420" w:type="dxa"/>
            <w:vMerge/>
            <w:tcBorders>
              <w:top w:val="nil"/>
              <w:left w:val="single" w:sz="4" w:space="0" w:color="auto"/>
              <w:bottom w:val="single" w:sz="4" w:space="0" w:color="000000"/>
              <w:right w:val="single" w:sz="4" w:space="0" w:color="auto"/>
            </w:tcBorders>
            <w:vAlign w:val="center"/>
            <w:hideMark/>
          </w:tcPr>
          <w:p w14:paraId="4EB74D01"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69120244"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72EDE1E9"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9FB151A"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25A24D"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50 °C and average gradient of strain rate 100 s–1</w:t>
            </w:r>
          </w:p>
        </w:tc>
        <w:tc>
          <w:tcPr>
            <w:tcW w:w="2420" w:type="dxa"/>
            <w:vMerge/>
            <w:tcBorders>
              <w:top w:val="nil"/>
              <w:left w:val="single" w:sz="4" w:space="0" w:color="auto"/>
              <w:bottom w:val="single" w:sz="4" w:space="0" w:color="000000"/>
              <w:right w:val="single" w:sz="4" w:space="0" w:color="auto"/>
            </w:tcBorders>
            <w:vAlign w:val="center"/>
            <w:hideMark/>
          </w:tcPr>
          <w:p w14:paraId="65D0398A"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003C4D9C"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247A116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6A04211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658FDD"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Tensile strength:</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4CF03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Pa</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A8738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GOST 7143 </w:t>
            </w:r>
          </w:p>
        </w:tc>
        <w:tc>
          <w:tcPr>
            <w:tcW w:w="1660" w:type="dxa"/>
            <w:tcBorders>
              <w:top w:val="nil"/>
              <w:left w:val="nil"/>
              <w:bottom w:val="single" w:sz="4" w:space="0" w:color="auto"/>
              <w:right w:val="single" w:sz="4" w:space="0" w:color="auto"/>
            </w:tcBorders>
            <w:shd w:val="clear" w:color="auto" w:fill="auto"/>
            <w:noWrap/>
            <w:vAlign w:val="center"/>
            <w:hideMark/>
          </w:tcPr>
          <w:p w14:paraId="4E63E99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0700F0B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7638C9"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20 °C</w:t>
            </w:r>
          </w:p>
        </w:tc>
        <w:tc>
          <w:tcPr>
            <w:tcW w:w="2420" w:type="dxa"/>
            <w:vMerge/>
            <w:tcBorders>
              <w:top w:val="nil"/>
              <w:left w:val="single" w:sz="4" w:space="0" w:color="auto"/>
              <w:bottom w:val="single" w:sz="4" w:space="0" w:color="000000"/>
              <w:right w:val="single" w:sz="4" w:space="0" w:color="auto"/>
            </w:tcBorders>
            <w:vAlign w:val="center"/>
            <w:hideMark/>
          </w:tcPr>
          <w:p w14:paraId="416D5129"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19CF5914"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42991D2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1F3D5F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1F33C8"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80 °C</w:t>
            </w:r>
          </w:p>
        </w:tc>
        <w:tc>
          <w:tcPr>
            <w:tcW w:w="2420" w:type="dxa"/>
            <w:vMerge/>
            <w:tcBorders>
              <w:top w:val="nil"/>
              <w:left w:val="single" w:sz="4" w:space="0" w:color="auto"/>
              <w:bottom w:val="single" w:sz="4" w:space="0" w:color="000000"/>
              <w:right w:val="single" w:sz="4" w:space="0" w:color="auto"/>
            </w:tcBorders>
            <w:vAlign w:val="center"/>
            <w:hideMark/>
          </w:tcPr>
          <w:p w14:paraId="2A126C4E"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1FD1AE5A"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4A1A6725"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46ED24F5"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64A200"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Colloidal stability, seperated oil</w:t>
            </w:r>
          </w:p>
        </w:tc>
        <w:tc>
          <w:tcPr>
            <w:tcW w:w="2420" w:type="dxa"/>
            <w:tcBorders>
              <w:top w:val="nil"/>
              <w:left w:val="nil"/>
              <w:bottom w:val="single" w:sz="4" w:space="0" w:color="auto"/>
              <w:right w:val="single" w:sz="4" w:space="0" w:color="auto"/>
            </w:tcBorders>
            <w:shd w:val="clear" w:color="auto" w:fill="auto"/>
            <w:noWrap/>
            <w:vAlign w:val="center"/>
            <w:hideMark/>
          </w:tcPr>
          <w:p w14:paraId="59A7AD3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10AE1C29"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GOST 7142 </w:t>
            </w:r>
          </w:p>
        </w:tc>
        <w:tc>
          <w:tcPr>
            <w:tcW w:w="1660" w:type="dxa"/>
            <w:tcBorders>
              <w:top w:val="nil"/>
              <w:left w:val="nil"/>
              <w:bottom w:val="single" w:sz="4" w:space="0" w:color="auto"/>
              <w:right w:val="single" w:sz="4" w:space="0" w:color="auto"/>
            </w:tcBorders>
            <w:shd w:val="clear" w:color="auto" w:fill="auto"/>
            <w:noWrap/>
            <w:vAlign w:val="center"/>
            <w:hideMark/>
          </w:tcPr>
          <w:p w14:paraId="027B154F"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39476AD"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2AF99C2"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Corrosive action on metal</w:t>
            </w:r>
          </w:p>
        </w:tc>
        <w:tc>
          <w:tcPr>
            <w:tcW w:w="2420" w:type="dxa"/>
            <w:tcBorders>
              <w:top w:val="nil"/>
              <w:left w:val="nil"/>
              <w:bottom w:val="single" w:sz="4" w:space="0" w:color="auto"/>
              <w:right w:val="single" w:sz="4" w:space="0" w:color="auto"/>
            </w:tcBorders>
            <w:shd w:val="clear" w:color="auto" w:fill="auto"/>
            <w:noWrap/>
            <w:vAlign w:val="center"/>
            <w:hideMark/>
          </w:tcPr>
          <w:p w14:paraId="75AA6E4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2655B2F3"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40BED23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bl>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4F152A" w14:textId="00E7CABD"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Soap type</w:t>
      </w:r>
      <w:r>
        <w:rPr>
          <w:rFonts w:ascii="Arial" w:hAnsi="Arial" w:cs="Arial"/>
        </w:rPr>
        <w:t xml:space="preserve"> </w:t>
      </w:r>
      <w:r w:rsidRPr="00C01D78">
        <w:rPr>
          <w:rFonts w:ascii="Arial" w:hAnsi="Arial" w:cs="Arial"/>
        </w:rPr>
        <w:t>Lithium</w:t>
      </w:r>
    </w:p>
    <w:p w14:paraId="4E9056E5" w14:textId="7A0A1404" w:rsidR="00510002" w:rsidRDefault="00C01D78" w:rsidP="00C853C7">
      <w:pPr>
        <w:pStyle w:val="ListParagraph"/>
        <w:numPr>
          <w:ilvl w:val="0"/>
          <w:numId w:val="18"/>
        </w:numPr>
        <w:shd w:val="clear" w:color="auto" w:fill="FFFFFF"/>
        <w:spacing w:after="0" w:line="276" w:lineRule="auto"/>
        <w:rPr>
          <w:rFonts w:ascii="Arial" w:hAnsi="Arial" w:cs="Arial"/>
        </w:rPr>
      </w:pPr>
      <w:r>
        <w:rPr>
          <w:rFonts w:ascii="Arial" w:hAnsi="Arial" w:cs="Arial"/>
        </w:rPr>
        <w:t>NLGI 3</w:t>
      </w:r>
    </w:p>
    <w:p w14:paraId="7C43F403" w14:textId="77777777"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DIN 51502</w:t>
      </w:r>
    </w:p>
    <w:p w14:paraId="10A3F031" w14:textId="2A077C9A" w:rsidR="00C01D78" w:rsidRPr="00C853C7"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K3K-40</w:t>
      </w:r>
    </w:p>
    <w:p w14:paraId="3566372F" w14:textId="77777777" w:rsidR="00C01D78" w:rsidRDefault="00C01D78" w:rsidP="00A950FD">
      <w:pPr>
        <w:shd w:val="clear" w:color="auto" w:fill="FFFFFF"/>
        <w:spacing w:after="0" w:line="276" w:lineRule="auto"/>
        <w:rPr>
          <w:rFonts w:ascii="Arial" w:hAnsi="Arial" w:cs="Arial"/>
          <w:b/>
          <w:bCs/>
          <w:color w:val="C00000"/>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5A0C6" w14:textId="77777777" w:rsidR="004C6160" w:rsidRDefault="004C6160" w:rsidP="00314087">
      <w:pPr>
        <w:spacing w:after="0" w:line="240" w:lineRule="auto"/>
      </w:pPr>
      <w:r>
        <w:separator/>
      </w:r>
    </w:p>
  </w:endnote>
  <w:endnote w:type="continuationSeparator" w:id="0">
    <w:p w14:paraId="38472F5A" w14:textId="77777777" w:rsidR="004C6160" w:rsidRDefault="004C616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A75F6" w14:textId="77777777" w:rsidR="00D9617E" w:rsidRDefault="00D96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CFF09" w14:textId="77777777" w:rsidR="00D9617E" w:rsidRDefault="00D96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99F51" w14:textId="77777777" w:rsidR="004C6160" w:rsidRDefault="004C6160" w:rsidP="00314087">
      <w:pPr>
        <w:spacing w:after="0" w:line="240" w:lineRule="auto"/>
      </w:pPr>
      <w:r>
        <w:separator/>
      </w:r>
    </w:p>
  </w:footnote>
  <w:footnote w:type="continuationSeparator" w:id="0">
    <w:p w14:paraId="29C9B1E6" w14:textId="77777777" w:rsidR="004C6160" w:rsidRDefault="004C616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76C8D" w14:textId="77777777" w:rsidR="00D9617E" w:rsidRDefault="00D96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22141D85"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01D78">
      <w:rPr>
        <w:rFonts w:ascii="Arial" w:eastAsia="Arial Unicode MS" w:hAnsi="Arial" w:cs="Arial"/>
        <w:color w:val="000000"/>
        <w:sz w:val="18"/>
        <w:szCs w:val="18"/>
      </w:rPr>
      <w:t xml:space="preserve">GR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C01D78">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107EB">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16DD0" w14:textId="77777777" w:rsidR="00D9617E" w:rsidRDefault="00D96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C7811"/>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118A"/>
    <w:rsid w:val="004A2FED"/>
    <w:rsid w:val="004B0AFE"/>
    <w:rsid w:val="004B1126"/>
    <w:rsid w:val="004C21B4"/>
    <w:rsid w:val="004C2454"/>
    <w:rsid w:val="004C6160"/>
    <w:rsid w:val="004C7E56"/>
    <w:rsid w:val="004D4910"/>
    <w:rsid w:val="004F506D"/>
    <w:rsid w:val="004F676A"/>
    <w:rsid w:val="00500E14"/>
    <w:rsid w:val="0050238A"/>
    <w:rsid w:val="00510002"/>
    <w:rsid w:val="0051434D"/>
    <w:rsid w:val="0053747C"/>
    <w:rsid w:val="00542D7E"/>
    <w:rsid w:val="00550606"/>
    <w:rsid w:val="00557D74"/>
    <w:rsid w:val="0056469E"/>
    <w:rsid w:val="00572D70"/>
    <w:rsid w:val="00573EDE"/>
    <w:rsid w:val="00574092"/>
    <w:rsid w:val="0057492C"/>
    <w:rsid w:val="00581BCD"/>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107E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E7723"/>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C3B39"/>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B430C"/>
    <w:rsid w:val="00BC108F"/>
    <w:rsid w:val="00BD6431"/>
    <w:rsid w:val="00BD689D"/>
    <w:rsid w:val="00BE506C"/>
    <w:rsid w:val="00BF72F7"/>
    <w:rsid w:val="00C01D78"/>
    <w:rsid w:val="00C03CD0"/>
    <w:rsid w:val="00C11B88"/>
    <w:rsid w:val="00C14283"/>
    <w:rsid w:val="00C14D4E"/>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623D"/>
    <w:rsid w:val="00CE16A5"/>
    <w:rsid w:val="00CE4FDF"/>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9617E"/>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264372">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2023-09-05T11:23:00Z</dcterms:created>
  <dcterms:modified xsi:type="dcterms:W3CDTF">2023-09-05T11:23:00Z</dcterms:modified>
</cp:coreProperties>
</file>