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Heat Transfer Oil 68</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 Transfer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Heat Transfer Oil 68 is a top-quality heat transfer fluid designed for closed indirect heating systems. Crafted from highly refined base stocks, it offers exceptional oxidation stability and remarkable resistance against thermal cracking.</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Heat Transfer Oil 68 is recommended for use in heat transfer systems where fuel oil, gas or electricity is used to heat a liquid which then transfers the heat to where it is needed. Central cooking, drying, cooking oil deodorisation and fryer oil heating are also heat transfer applications.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Ensures reliable operation at high temperatures thanks to its exceptional thermal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Prolongs service life through its strong oxidation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Sustains heat transfer conductivity, optimizing system efficiency.</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Exhibits remarkable endurance at elevated temperatures, without leaving any residue.</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Facilitates smooth operation at low temperatures.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Delivers outstanding corrosion protection for systems.</w:t>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Initial Boiling Point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ISO 3405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&gt;330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68</w:t>
      </w:r>
    </w:p>
    <w:p w:rsidR="00000000" w:rsidDel="00000000" w:rsidP="00000000" w:rsidRDefault="00000000" w:rsidRPr="00000000" w14:paraId="00000047">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6743-12 L-QC-68</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DIN 51522-Q Meets requirements </w:t>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B">
      <w:pPr>
        <w:numPr>
          <w:ilvl w:val="0"/>
          <w:numId w:val="3"/>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C">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3"/>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1">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5">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6">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0">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2">
      <w:pPr>
        <w:numPr>
          <w:ilvl w:val="0"/>
          <w:numId w:val="3"/>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3">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4">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spacing w:line="276" w:lineRule="auto"/>
        <w:jc w:val="both"/>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AL/HF-P-0003/01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uZo1Fxf5Z+aj+xGsNfTNK2xZvw==">CgMxLjA4AHIhMUJXdWxCR2R1WF9reHFkcUh1MGVleXBLczVaZDZRSWZM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2023-08-31T10:42:00Z</dcterms:created>
  <dc:creator>Gismat Abbasov</dc:creator>
</cp:coreProperties>
</file>