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216850D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605798">
        <w:rPr>
          <w:rFonts w:ascii="Arial" w:hAnsi="Arial" w:cs="Arial"/>
          <w:b/>
          <w:bCs/>
          <w:color w:val="000000" w:themeColor="text1"/>
          <w:sz w:val="32"/>
          <w:szCs w:val="32"/>
        </w:rPr>
        <w:t>32</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4EECBF5E" w:rsidR="00B03CCD" w:rsidRDefault="00605798" w:rsidP="00B03CCD">
      <w:pPr>
        <w:shd w:val="clear" w:color="auto" w:fill="FFFFFF"/>
        <w:spacing w:after="0" w:line="276" w:lineRule="auto"/>
        <w:rPr>
          <w:rFonts w:ascii="Arial" w:eastAsia="Times New Roman" w:hAnsi="Arial" w:cs="Arial"/>
          <w:color w:val="000000" w:themeColor="text1"/>
          <w:sz w:val="20"/>
          <w:szCs w:val="20"/>
        </w:rPr>
      </w:pPr>
      <w:r w:rsidRPr="00605798">
        <w:rPr>
          <w:rFonts w:ascii="Arial" w:eastAsia="Times New Roman" w:hAnsi="Arial" w:cs="Arial"/>
          <w:color w:val="000000" w:themeColor="text1"/>
          <w:sz w:val="20"/>
          <w:szCs w:val="20"/>
        </w:rPr>
        <w:t>Aminol™Hydraulic Oil HLP 32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6B765708" w14:textId="77777777" w:rsidR="00605798" w:rsidRDefault="00605798"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74F398F5" w14:textId="5595A69E" w:rsidR="00C5155C" w:rsidRDefault="006A5F1C" w:rsidP="009367BC">
      <w:pPr>
        <w:shd w:val="clear" w:color="auto" w:fill="FFFFFF"/>
        <w:spacing w:after="0" w:line="276" w:lineRule="auto"/>
        <w:rPr>
          <w:rFonts w:ascii="Arial" w:hAnsi="Arial" w:cs="Arial"/>
          <w:b/>
          <w:bCs/>
          <w:color w:val="C00000"/>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2CD06D28" w14:textId="77777777" w:rsidR="00C5155C" w:rsidRDefault="00C5155C" w:rsidP="009367BC">
      <w:pPr>
        <w:shd w:val="clear" w:color="auto" w:fill="FFFFFF"/>
        <w:spacing w:after="0" w:line="276" w:lineRule="auto"/>
        <w:rPr>
          <w:rFonts w:ascii="Arial" w:hAnsi="Arial" w:cs="Arial"/>
          <w:b/>
          <w:bCs/>
          <w:color w:val="C00000"/>
        </w:rPr>
      </w:pPr>
    </w:p>
    <w:tbl>
      <w:tblPr>
        <w:tblW w:w="10400" w:type="dxa"/>
        <w:tblLook w:val="04A0" w:firstRow="1" w:lastRow="0" w:firstColumn="1" w:lastColumn="0" w:noHBand="0" w:noVBand="1"/>
      </w:tblPr>
      <w:tblGrid>
        <w:gridCol w:w="3860"/>
        <w:gridCol w:w="2180"/>
        <w:gridCol w:w="2180"/>
        <w:gridCol w:w="2180"/>
      </w:tblGrid>
      <w:tr w:rsidR="00C5155C" w:rsidRPr="00C5155C" w14:paraId="04C62F9A" w14:textId="77777777" w:rsidTr="00C5155C">
        <w:trPr>
          <w:trHeight w:val="495"/>
        </w:trPr>
        <w:tc>
          <w:tcPr>
            <w:tcW w:w="38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9439B8"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797734B6"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D2E2765"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1EAA4282" w14:textId="77777777" w:rsidR="00C5155C" w:rsidRPr="00C5155C" w:rsidRDefault="00C5155C" w:rsidP="00C5155C">
            <w:pPr>
              <w:spacing w:after="0" w:line="240" w:lineRule="auto"/>
              <w:jc w:val="center"/>
              <w:rPr>
                <w:rFonts w:ascii="Arial" w:eastAsia="Times New Roman" w:hAnsi="Arial" w:cs="Arial"/>
                <w:b/>
                <w:bCs/>
                <w:color w:val="000000"/>
                <w:sz w:val="20"/>
                <w:szCs w:val="20"/>
              </w:rPr>
            </w:pPr>
            <w:r w:rsidRPr="00C5155C">
              <w:rPr>
                <w:rFonts w:ascii="Arial" w:eastAsia="Times New Roman" w:hAnsi="Arial" w:cs="Arial"/>
                <w:b/>
                <w:bCs/>
                <w:color w:val="000000"/>
                <w:sz w:val="20"/>
                <w:szCs w:val="20"/>
              </w:rPr>
              <w:t>Typical value</w:t>
            </w:r>
          </w:p>
        </w:tc>
      </w:tr>
      <w:tr w:rsidR="00C5155C" w:rsidRPr="00C5155C" w14:paraId="31CBDF0A"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21CC72A"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65117424"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9A179C5"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72C95B99"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41AF57C0"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538502E"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0C68F4D8"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g/cm</w:t>
            </w:r>
            <w:r w:rsidRPr="00C5155C">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185A6F6"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6F62F073"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4A6F8701"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EC630D8"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144CD558"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mm</w:t>
            </w:r>
            <w:r w:rsidRPr="00C5155C">
              <w:rPr>
                <w:rFonts w:ascii="Arial" w:eastAsia="Times New Roman" w:hAnsi="Arial" w:cs="Arial"/>
                <w:color w:val="000000"/>
                <w:sz w:val="20"/>
                <w:szCs w:val="20"/>
                <w:vertAlign w:val="superscript"/>
              </w:rPr>
              <w:t>2</w:t>
            </w:r>
            <w:r w:rsidRPr="00C5155C">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2A142A5"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F869E30"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26D1C29B"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39B1CF6"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60B2DCE9"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mm</w:t>
            </w:r>
            <w:r w:rsidRPr="00C5155C">
              <w:rPr>
                <w:rFonts w:ascii="Arial" w:eastAsia="Times New Roman" w:hAnsi="Arial" w:cs="Arial"/>
                <w:color w:val="000000"/>
                <w:sz w:val="20"/>
                <w:szCs w:val="20"/>
                <w:vertAlign w:val="superscript"/>
              </w:rPr>
              <w:t>2</w:t>
            </w:r>
            <w:r w:rsidRPr="00C5155C">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48D1C4CA"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27753AC"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1831F9BE"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82374F8"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634B44EE"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9A03B72"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3156E36"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7827C4DC"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046A5B2"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414F75EE"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06C0441"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6AEBEE74"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4301125F"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8B81B58"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39FDB657"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5490A5C"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6E1F54B2"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 </w:t>
            </w:r>
          </w:p>
        </w:tc>
      </w:tr>
      <w:tr w:rsidR="00C5155C" w:rsidRPr="00C5155C" w14:paraId="3FA8DB9B"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B2A9AF5"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Water seperability at 54°C</w:t>
            </w:r>
          </w:p>
        </w:tc>
        <w:tc>
          <w:tcPr>
            <w:tcW w:w="2180" w:type="dxa"/>
            <w:tcBorders>
              <w:top w:val="nil"/>
              <w:left w:val="nil"/>
              <w:bottom w:val="single" w:sz="4" w:space="0" w:color="auto"/>
              <w:right w:val="single" w:sz="4" w:space="0" w:color="auto"/>
            </w:tcBorders>
            <w:shd w:val="clear" w:color="auto" w:fill="auto"/>
            <w:noWrap/>
            <w:vAlign w:val="bottom"/>
            <w:hideMark/>
          </w:tcPr>
          <w:p w14:paraId="4C8777AE"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04071D6A"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20001EC3"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5CB08E64"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BFDAF10"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5E31C5EA"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36827853"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464EEB95"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7C7B8DD1"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C53754E"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28C82F84"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22D3B04C"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2E1F292E"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5AEC1FAC"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AFC8F67" w14:textId="4A270A25"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lastRenderedPageBreak/>
              <w:t>Foam, Seq I, Tendency / Stability</w:t>
            </w:r>
          </w:p>
        </w:tc>
        <w:tc>
          <w:tcPr>
            <w:tcW w:w="2180" w:type="dxa"/>
            <w:tcBorders>
              <w:top w:val="nil"/>
              <w:left w:val="nil"/>
              <w:bottom w:val="single" w:sz="4" w:space="0" w:color="auto"/>
              <w:right w:val="single" w:sz="4" w:space="0" w:color="auto"/>
            </w:tcBorders>
            <w:shd w:val="clear" w:color="auto" w:fill="auto"/>
            <w:noWrap/>
            <w:vAlign w:val="center"/>
            <w:hideMark/>
          </w:tcPr>
          <w:p w14:paraId="36161B4A"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0921BA8E"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center"/>
            <w:hideMark/>
          </w:tcPr>
          <w:p w14:paraId="6DFE96CD"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462562E3"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F87E439"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Foam, Seq II, Tendency / Stability</w:t>
            </w:r>
          </w:p>
        </w:tc>
        <w:tc>
          <w:tcPr>
            <w:tcW w:w="2180" w:type="dxa"/>
            <w:tcBorders>
              <w:top w:val="nil"/>
              <w:left w:val="nil"/>
              <w:bottom w:val="single" w:sz="4" w:space="0" w:color="auto"/>
              <w:right w:val="single" w:sz="4" w:space="0" w:color="auto"/>
            </w:tcBorders>
            <w:shd w:val="clear" w:color="auto" w:fill="auto"/>
            <w:noWrap/>
            <w:vAlign w:val="center"/>
            <w:hideMark/>
          </w:tcPr>
          <w:p w14:paraId="0B4B3747"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5F9446BA"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center"/>
            <w:hideMark/>
          </w:tcPr>
          <w:p w14:paraId="566A46A7"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7E9031E8"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34F7FB9"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Foam, Seq III, Tendency / Stability</w:t>
            </w:r>
          </w:p>
        </w:tc>
        <w:tc>
          <w:tcPr>
            <w:tcW w:w="2180" w:type="dxa"/>
            <w:tcBorders>
              <w:top w:val="nil"/>
              <w:left w:val="nil"/>
              <w:bottom w:val="single" w:sz="4" w:space="0" w:color="auto"/>
              <w:right w:val="single" w:sz="4" w:space="0" w:color="auto"/>
            </w:tcBorders>
            <w:shd w:val="clear" w:color="auto" w:fill="auto"/>
            <w:noWrap/>
            <w:vAlign w:val="center"/>
            <w:hideMark/>
          </w:tcPr>
          <w:p w14:paraId="3BE3AD35"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28788B4B"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center"/>
            <w:hideMark/>
          </w:tcPr>
          <w:p w14:paraId="33848933"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2ECA0FDE"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CD77CF3"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71E1773A"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71A7DD22"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4FDB654D"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r w:rsidR="00C5155C" w:rsidRPr="00C5155C" w14:paraId="60C2797B" w14:textId="77777777" w:rsidTr="00C5155C">
        <w:trPr>
          <w:trHeight w:val="300"/>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8CF89C6" w14:textId="77777777" w:rsidR="00C5155C" w:rsidRPr="00C5155C" w:rsidRDefault="00C5155C" w:rsidP="00C5155C">
            <w:pPr>
              <w:spacing w:after="0" w:line="240" w:lineRule="auto"/>
              <w:rPr>
                <w:rFonts w:ascii="Arial" w:eastAsia="Times New Roman" w:hAnsi="Arial" w:cs="Arial"/>
                <w:color w:val="000000"/>
                <w:sz w:val="20"/>
                <w:szCs w:val="20"/>
              </w:rPr>
            </w:pPr>
            <w:r w:rsidRPr="00C5155C">
              <w:rPr>
                <w:rFonts w:ascii="Arial" w:eastAsia="Times New Roman" w:hAnsi="Arial" w:cs="Arial"/>
                <w:color w:val="000000"/>
                <w:sz w:val="20"/>
                <w:szCs w:val="20"/>
              </w:rPr>
              <w:t>Rust-Preventing Characteristics, A&amp;B</w:t>
            </w:r>
          </w:p>
        </w:tc>
        <w:tc>
          <w:tcPr>
            <w:tcW w:w="2180" w:type="dxa"/>
            <w:tcBorders>
              <w:top w:val="nil"/>
              <w:left w:val="nil"/>
              <w:bottom w:val="single" w:sz="4" w:space="0" w:color="auto"/>
              <w:right w:val="single" w:sz="4" w:space="0" w:color="auto"/>
            </w:tcBorders>
            <w:shd w:val="clear" w:color="auto" w:fill="auto"/>
            <w:noWrap/>
            <w:vAlign w:val="center"/>
            <w:hideMark/>
          </w:tcPr>
          <w:p w14:paraId="6CE52766" w14:textId="77777777" w:rsidR="00C5155C" w:rsidRPr="00C5155C" w:rsidRDefault="00C5155C" w:rsidP="00C5155C">
            <w:pPr>
              <w:spacing w:after="0" w:line="240" w:lineRule="auto"/>
              <w:jc w:val="center"/>
              <w:rPr>
                <w:rFonts w:ascii="Calibri" w:eastAsia="Times New Roman" w:hAnsi="Calibri" w:cs="Calibri"/>
                <w:color w:val="000000"/>
              </w:rPr>
            </w:pPr>
            <w:r w:rsidRPr="00C5155C">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2E257648" w14:textId="77777777" w:rsidR="00C5155C" w:rsidRPr="00C5155C" w:rsidRDefault="00C5155C" w:rsidP="00C5155C">
            <w:pPr>
              <w:spacing w:after="0" w:line="240" w:lineRule="auto"/>
              <w:jc w:val="center"/>
              <w:rPr>
                <w:rFonts w:ascii="Arial" w:eastAsia="Times New Roman" w:hAnsi="Arial" w:cs="Arial"/>
                <w:color w:val="000000"/>
                <w:sz w:val="20"/>
                <w:szCs w:val="20"/>
              </w:rPr>
            </w:pPr>
            <w:r w:rsidRPr="00C5155C">
              <w:rPr>
                <w:rFonts w:ascii="Arial" w:eastAsia="Times New Roman" w:hAnsi="Arial" w:cs="Arial"/>
                <w:color w:val="000000"/>
                <w:sz w:val="20"/>
                <w:szCs w:val="20"/>
              </w:rPr>
              <w:t>ASTM D665</w:t>
            </w:r>
          </w:p>
        </w:tc>
        <w:tc>
          <w:tcPr>
            <w:tcW w:w="2180" w:type="dxa"/>
            <w:tcBorders>
              <w:top w:val="nil"/>
              <w:left w:val="nil"/>
              <w:bottom w:val="single" w:sz="4" w:space="0" w:color="auto"/>
              <w:right w:val="single" w:sz="4" w:space="0" w:color="auto"/>
            </w:tcBorders>
            <w:shd w:val="clear" w:color="auto" w:fill="auto"/>
            <w:noWrap/>
            <w:vAlign w:val="bottom"/>
            <w:hideMark/>
          </w:tcPr>
          <w:p w14:paraId="6E37764E" w14:textId="77777777" w:rsidR="00C5155C" w:rsidRPr="00C5155C" w:rsidRDefault="00C5155C" w:rsidP="00C5155C">
            <w:pPr>
              <w:spacing w:after="0" w:line="240" w:lineRule="auto"/>
              <w:rPr>
                <w:rFonts w:ascii="Calibri" w:eastAsia="Times New Roman" w:hAnsi="Calibri" w:cs="Calibri"/>
                <w:color w:val="000000"/>
              </w:rPr>
            </w:pPr>
            <w:r w:rsidRPr="00C5155C">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B251559"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CB8D984" w14:textId="77777777" w:rsidR="00C5155C" w:rsidRDefault="00C5155C" w:rsidP="00605798">
      <w:pPr>
        <w:pStyle w:val="ListParagraph"/>
        <w:numPr>
          <w:ilvl w:val="0"/>
          <w:numId w:val="18"/>
        </w:numPr>
        <w:shd w:val="clear" w:color="auto" w:fill="FFFFFF"/>
        <w:spacing w:after="0" w:line="276" w:lineRule="auto"/>
        <w:rPr>
          <w:rFonts w:ascii="Arial" w:hAnsi="Arial" w:cs="Arial"/>
        </w:rPr>
        <w:sectPr w:rsidR="00C5155C"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367BFF38" w14:textId="521CFA3D"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DIN - 51524 -2</w:t>
      </w:r>
    </w:p>
    <w:p w14:paraId="4DFACCA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- 11158, HM</w:t>
      </w:r>
    </w:p>
    <w:p w14:paraId="2989FD2F"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ISO - 6743-4, HM</w:t>
      </w:r>
    </w:p>
    <w:p w14:paraId="2DC2B7BC"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GB 11118.1-2011</w:t>
      </w:r>
    </w:p>
    <w:p w14:paraId="220F81F6"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SAE - MS 1004</w:t>
      </w:r>
    </w:p>
    <w:p w14:paraId="47F98BF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US STEEL - 126/127</w:t>
      </w:r>
    </w:p>
    <w:p w14:paraId="4B7B5527"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Bosch Rexroth RDE 90235</w:t>
      </w:r>
    </w:p>
    <w:p w14:paraId="557E8B83"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Denison HF-0/HF-1/HF-2</w:t>
      </w:r>
    </w:p>
    <w:p w14:paraId="72BB1254"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Eaton E-FDGN-TB002-E</w:t>
      </w:r>
    </w:p>
    <w:p w14:paraId="0DBB1662"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Fives Cincinnati P68</w:t>
      </w:r>
    </w:p>
    <w:p w14:paraId="5D565670"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ASTM D6158 (HM, HV)</w:t>
      </w:r>
    </w:p>
    <w:p w14:paraId="543EE04D" w14:textId="77777777" w:rsidR="00605798" w:rsidRP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JCMAS P041 HK</w:t>
      </w:r>
    </w:p>
    <w:p w14:paraId="34764F52" w14:textId="0B2FCD1B" w:rsidR="00605798" w:rsidRDefault="00605798" w:rsidP="00605798">
      <w:pPr>
        <w:pStyle w:val="ListParagraph"/>
        <w:numPr>
          <w:ilvl w:val="0"/>
          <w:numId w:val="18"/>
        </w:numPr>
        <w:shd w:val="clear" w:color="auto" w:fill="FFFFFF"/>
        <w:spacing w:after="0" w:line="276" w:lineRule="auto"/>
        <w:rPr>
          <w:rFonts w:ascii="Arial" w:hAnsi="Arial" w:cs="Arial"/>
        </w:rPr>
      </w:pPr>
      <w:r w:rsidRPr="00605798">
        <w:rPr>
          <w:rFonts w:ascii="Arial" w:hAnsi="Arial" w:cs="Arial"/>
        </w:rPr>
        <w:t>GM LS-2</w:t>
      </w:r>
    </w:p>
    <w:p w14:paraId="596E64FD" w14:textId="77777777" w:rsidR="00C5155C" w:rsidRDefault="00C5155C" w:rsidP="00605798">
      <w:pPr>
        <w:shd w:val="clear" w:color="auto" w:fill="FFFFFF"/>
        <w:spacing w:after="0" w:line="276" w:lineRule="auto"/>
        <w:rPr>
          <w:rFonts w:ascii="Arial" w:hAnsi="Arial" w:cs="Arial"/>
          <w:b/>
          <w:bCs/>
          <w:color w:val="C00000"/>
        </w:rPr>
        <w:sectPr w:rsidR="00C5155C" w:rsidSect="00C5155C">
          <w:type w:val="continuous"/>
          <w:pgSz w:w="12240" w:h="15840"/>
          <w:pgMar w:top="1440" w:right="1440" w:bottom="1418" w:left="1440" w:header="708" w:footer="441" w:gutter="0"/>
          <w:cols w:num="2" w:space="708"/>
          <w:docGrid w:linePitch="360"/>
        </w:sectPr>
      </w:pPr>
    </w:p>
    <w:p w14:paraId="15E02FF0" w14:textId="1A7D7140" w:rsidR="00605798" w:rsidRDefault="00605798" w:rsidP="00605798">
      <w:pPr>
        <w:shd w:val="clear" w:color="auto" w:fill="FFFFFF"/>
        <w:spacing w:after="0" w:line="276" w:lineRule="auto"/>
        <w:rPr>
          <w:rFonts w:ascii="Arial" w:hAnsi="Arial" w:cs="Arial"/>
          <w:b/>
          <w:bCs/>
          <w:color w:val="C00000"/>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4"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5155C">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73DE8" w14:textId="77777777" w:rsidR="008338E3" w:rsidRDefault="008338E3" w:rsidP="00314087">
      <w:pPr>
        <w:spacing w:after="0" w:line="240" w:lineRule="auto"/>
      </w:pPr>
      <w:r>
        <w:separator/>
      </w:r>
    </w:p>
  </w:endnote>
  <w:endnote w:type="continuationSeparator" w:id="0">
    <w:p w14:paraId="620CB088" w14:textId="77777777" w:rsidR="008338E3" w:rsidRDefault="008338E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88EF9" w14:textId="77777777" w:rsidR="0040230F" w:rsidRDefault="004023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38F2F" w14:textId="77777777" w:rsidR="0040230F" w:rsidRDefault="00402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B55E3" w14:textId="77777777" w:rsidR="008338E3" w:rsidRDefault="008338E3" w:rsidP="00314087">
      <w:pPr>
        <w:spacing w:after="0" w:line="240" w:lineRule="auto"/>
      </w:pPr>
      <w:r>
        <w:separator/>
      </w:r>
    </w:p>
  </w:footnote>
  <w:footnote w:type="continuationSeparator" w:id="0">
    <w:p w14:paraId="0BADD458" w14:textId="77777777" w:rsidR="008338E3" w:rsidRDefault="008338E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3014" w14:textId="77777777" w:rsidR="0040230F" w:rsidRDefault="004023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2425FD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40230F">
      <w:rPr>
        <w:rFonts w:ascii="Arial" w:eastAsia="Arial Unicode MS" w:hAnsi="Arial" w:cs="Arial"/>
        <w:color w:val="000000"/>
        <w:sz w:val="18"/>
        <w:szCs w:val="18"/>
      </w:rPr>
      <w:t>02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4FB61" w14:textId="77777777" w:rsidR="0040230F" w:rsidRDefault="004023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3E7B38"/>
    <w:rsid w:val="00400CDC"/>
    <w:rsid w:val="0040230F"/>
    <w:rsid w:val="00412A23"/>
    <w:rsid w:val="00425640"/>
    <w:rsid w:val="00446104"/>
    <w:rsid w:val="00447E86"/>
    <w:rsid w:val="00455531"/>
    <w:rsid w:val="00456749"/>
    <w:rsid w:val="00456E64"/>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338E3"/>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5155C"/>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937637">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minol.az"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BE38-9D3C-466E-BE57-06340B37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2023-09-05T11:20:00Z</dcterms:created>
  <dcterms:modified xsi:type="dcterms:W3CDTF">2023-09-05T11:20:00Z</dcterms:modified>
</cp:coreProperties>
</file>