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HVLP 46</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Hydarulic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color w:val="000000"/>
          <w:sz w:val="20"/>
          <w:szCs w:val="20"/>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Aminol™ HVLP 46 is a high-performance anti-wear hydraulic oil made from premium quality raffinates. It has been engineered to provide outstanding protection and performance in most mobile equipment and other applications subjected to wider ranges of ambient or operating temperatures.</w:t>
      </w:r>
    </w:p>
    <w:p w:rsidR="00000000" w:rsidDel="00000000" w:rsidP="00000000" w:rsidRDefault="00000000" w:rsidRPr="00000000" w14:paraId="00000009">
      <w:pPr>
        <w:shd w:fill="ffffff" w:val="clear"/>
        <w:spacing w:after="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Exceptional thermal and oxidation stability</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Superior wear resistance</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Enhanced corrosion protection</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anti-foam properties</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 clean performance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7">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8">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10400.0" w:type="dxa"/>
        <w:jc w:val="left"/>
        <w:tblLayout w:type="fixed"/>
        <w:tblLook w:val="0400"/>
      </w:tblPr>
      <w:tblGrid>
        <w:gridCol w:w="3860"/>
        <w:gridCol w:w="2180"/>
        <w:gridCol w:w="2180"/>
        <w:gridCol w:w="2180"/>
        <w:tblGridChange w:id="0">
          <w:tblGrid>
            <w:gridCol w:w="386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A">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B">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C">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0.870</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46.0</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226</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-30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separability</w:t>
            </w:r>
          </w:p>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to 3 ml emulsion min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spacing w:after="0" w:line="240" w:lineRule="auto"/>
              <w:jc w:val="center"/>
              <w:rPr/>
            </w:pPr>
            <w:r w:rsidDel="00000000" w:rsidR="00000000" w:rsidRPr="00000000">
              <w:rPr>
                <w:rtl w:val="0"/>
              </w:rPr>
              <w:t xml:space="preserve">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D7451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jc w:val="center"/>
              <w:rPr/>
            </w:pPr>
            <w:r w:rsidDel="00000000" w:rsidR="00000000" w:rsidRPr="00000000">
              <w:rPr>
                <w:rtl w:val="0"/>
              </w:rPr>
              <w:t xml:space="preserve"> 15</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Oxidation Stability after 1000h/TAN increase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jc w:val="center"/>
              <w:rPr/>
            </w:pPr>
            <w:r w:rsidDel="00000000" w:rsidR="00000000" w:rsidRPr="00000000">
              <w:rPr>
                <w:rtl w:val="0"/>
              </w:rPr>
              <w:t xml:space="preserve">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D4310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jc w:val="center"/>
              <w:rPr/>
            </w:pPr>
            <w:r w:rsidDel="00000000" w:rsidR="00000000" w:rsidRPr="00000000">
              <w:rPr>
                <w:rtl w:val="0"/>
              </w:rPr>
              <w:t xml:space="preserve"> &lt;1.0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 3 h, 100 °C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D130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jc w:val="center"/>
              <w:rPr/>
            </w:pPr>
            <w:r w:rsidDel="00000000" w:rsidR="00000000" w:rsidRPr="00000000">
              <w:rPr>
                <w:rtl w:val="0"/>
              </w:rPr>
              <w:t xml:space="preserve"> 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Rust-Preventing Characteristics, A&amp;B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D665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jc w:val="center"/>
              <w:rPr/>
            </w:pPr>
            <w:r w:rsidDel="00000000" w:rsidR="00000000" w:rsidRPr="00000000">
              <w:rPr>
                <w:rtl w:val="0"/>
              </w:rPr>
              <w:t xml:space="preserve"> Pass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FZG EP Wear Test (A 8.3/90)</w:t>
              <w:br w:type="textWrapping"/>
              <w:t xml:space="preserve">Failure Load Stage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5182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spacing w:after="0" w:line="240" w:lineRule="auto"/>
              <w:jc w:val="center"/>
              <w:rPr/>
            </w:pPr>
            <w:r w:rsidDel="00000000" w:rsidR="00000000" w:rsidRPr="00000000">
              <w:rPr>
                <w:rtl w:val="0"/>
              </w:rPr>
              <w:t xml:space="preserve">12</w:t>
            </w:r>
          </w:p>
        </w:tc>
      </w:tr>
    </w:tbl>
    <w:p w:rsidR="00000000" w:rsidDel="00000000" w:rsidP="00000000" w:rsidRDefault="00000000" w:rsidRPr="00000000" w14:paraId="0000005A">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5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51524-3 (HV)</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11158 (HV)</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Bosch Rexroth RDE 90235</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Denison HF-0/HF-1/HF-2</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Eaton E-FDGN-TB002-E</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Fives Cincinnati P68 -</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w:t>
      </w:r>
      <w:r w:rsidDel="00000000" w:rsidR="00000000" w:rsidRPr="00000000">
        <w:rPr>
          <w:rFonts w:ascii="Arial" w:cs="Arial" w:eastAsia="Arial" w:hAnsi="Arial"/>
          <w:color w:val="ff0000"/>
          <w:rtl w:val="0"/>
        </w:rPr>
        <w:t xml:space="preserve">P70</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GB 11118.1-2011 (L-HV)</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ASTM D6158 (HV)</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LS 2</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AIST 126, 127</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SAE MS 1004</w:t>
      </w:r>
    </w:p>
    <w:p w:rsidR="00000000" w:rsidDel="00000000" w:rsidP="00000000" w:rsidRDefault="00000000" w:rsidRPr="00000000" w14:paraId="00000067">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68">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ISO - 6743-4, HV</w:t>
      </w:r>
    </w:p>
    <w:p w:rsidR="00000000" w:rsidDel="00000000" w:rsidP="00000000" w:rsidRDefault="00000000" w:rsidRPr="00000000" w14:paraId="00000069">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US STEEL - 126/127</w:t>
      </w:r>
    </w:p>
    <w:p w:rsidR="00000000" w:rsidDel="00000000" w:rsidP="00000000" w:rsidRDefault="00000000" w:rsidRPr="00000000" w14:paraId="0000006A">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JCMAS P041 HK</w:t>
      </w:r>
    </w:p>
    <w:p w:rsidR="00000000" w:rsidDel="00000000" w:rsidP="00000000" w:rsidRDefault="00000000" w:rsidRPr="00000000" w14:paraId="0000006B">
      <w:pPr>
        <w:numPr>
          <w:ilvl w:val="0"/>
          <w:numId w:val="2"/>
        </w:numPr>
        <w:shd w:fill="ffffff" w:val="clear"/>
        <w:spacing w:after="0" w:line="276" w:lineRule="auto"/>
        <w:ind w:left="360"/>
        <w:rPr>
          <w:rFonts w:ascii="Arial" w:cs="Arial" w:eastAsia="Arial" w:hAnsi="Arial"/>
          <w:color w:val="ff9900"/>
        </w:rPr>
      </w:pPr>
      <w:r w:rsidDel="00000000" w:rsidR="00000000" w:rsidRPr="00000000">
        <w:rPr>
          <w:rFonts w:ascii="Arial" w:cs="Arial" w:eastAsia="Arial" w:hAnsi="Arial"/>
          <w:color w:val="ff9900"/>
          <w:rtl w:val="0"/>
        </w:rPr>
        <w:t xml:space="preserve">SEB 18122</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70">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7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79">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7A">
      <w:pPr>
        <w:shd w:fill="ffffff" w:val="clear"/>
        <w:spacing w:line="240" w:lineRule="auto"/>
        <w:rPr>
          <w:rFonts w:ascii="Arial" w:cs="Arial" w:eastAsia="Arial" w:hAnsi="Arial"/>
          <w:b w:val="1"/>
          <w:color w:val="c00000"/>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7B">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18 L Canister plastic</w:t>
      </w:r>
    </w:p>
    <w:p w:rsidR="00000000" w:rsidDel="00000000" w:rsidP="00000000" w:rsidRDefault="00000000" w:rsidRPr="00000000" w14:paraId="0000007C">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7D">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30 L Canister plastic</w:t>
      </w:r>
    </w:p>
    <w:p w:rsidR="00000000" w:rsidDel="00000000" w:rsidP="00000000" w:rsidRDefault="00000000" w:rsidRPr="00000000" w14:paraId="0000007E">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80">
      <w:pPr>
        <w:numPr>
          <w:ilvl w:val="0"/>
          <w:numId w:val="1"/>
        </w:numPr>
        <w:spacing w:line="276" w:lineRule="auto"/>
        <w:ind w:left="720"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89">
      <w:pPr>
        <w:spacing w:line="276" w:lineRule="auto"/>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AL/HO-P-0016/01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xLLZufaFrf0uqs0JYf18C1ONhA==">CgMxLjAyCGguZ2pkZ3hzOAByITE4MkVjOXdIOFdBdkFhTHVwYzYwSVJUTDRXY0RDTUZ6NQ==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2023-09-04T07:17:00Z</dcterms:created>
  <dc:creator>Gismat Abbasov</dc:creator>
</cp:coreProperties>
</file>