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I-12A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Industrial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I-12A is a high-quality mineral-based general-purpose lubricant designed for use in a wide range of industrial applications. It has been made of distillate or a mixture of distillate with a residual of </w:t>
      </w:r>
      <w:r w:rsidDel="00000000" w:rsidR="00000000" w:rsidRPr="00000000">
        <w:rPr>
          <w:rFonts w:ascii="Arial" w:cs="Arial" w:eastAsia="Arial" w:hAnsi="Arial"/>
          <w:rtl w:val="0"/>
        </w:rPr>
        <w:t xml:space="preserve">sulfurous</w:t>
      </w:r>
      <w:r w:rsidDel="00000000" w:rsidR="00000000" w:rsidRPr="00000000">
        <w:rPr>
          <w:rFonts w:ascii="Arial" w:cs="Arial" w:eastAsia="Arial" w:hAnsi="Arial"/>
          <w:color w:val="000000"/>
          <w:rtl w:val="0"/>
        </w:rPr>
        <w:t xml:space="preserve"> and low-sulfur solvent-refined oils without additives to provide system efficiency of industrial machines and mechanisms where the operating conditions do not demand enhanced antioxidant and anticorrosive properties of oils.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I-12A is used to lubricate hydraulic equipment for machine tools, automated lines and presses, light and medium duty mechanical gears, rolling and sliding guideways. It can also be used as a basic component of additive treated oils and fats.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w:t>
      </w:r>
      <w:r w:rsidDel="00000000" w:rsidR="00000000" w:rsidRPr="00000000">
        <w:rPr>
          <w:rFonts w:ascii="Arial" w:cs="Arial" w:eastAsia="Arial" w:hAnsi="Arial"/>
          <w:rtl w:val="0"/>
        </w:rPr>
        <w:t xml:space="preserve">antioxidant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anti-wear properties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demulsifying capability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protection against rust and corrosion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equipment life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Universal application in various systems and components of industrial machinery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kg/m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2477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Mechanical Impurities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6307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pPr>
            <w:r w:rsidDel="00000000" w:rsidR="00000000" w:rsidRPr="00000000">
              <w:rPr>
                <w:rFonts w:ascii="Arial" w:cs="Arial" w:eastAsia="Arial" w:hAnsi="Arial"/>
                <w:sz w:val="20"/>
                <w:szCs w:val="20"/>
                <w:rtl w:val="0"/>
              </w:rPr>
              <w:t xml:space="preserve">GOST 20284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170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КОН /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0.01</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5">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6">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A">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C">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0">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2">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0">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1">
      <w:pPr>
        <w:numPr>
          <w:ilvl w:val="0"/>
          <w:numId w:val="2"/>
        </w:numPr>
        <w:spacing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AL/IO-P-0001/01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T5m3f4v7CqSMj6bikAnCUpbkQ==">CgMxLjAyCGguZ2pkZ3hzOAByITExV0ZCay0wbW1UMTljbDU1bHF1bXJfRW9sLUhZV2luag==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2023-08-31T15:24:00Z</dcterms:created>
  <dc:creator>Gismat Abbasov</dc:creator>
</cp:coreProperties>
</file>