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M-14D2 SAE 40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Locomative oil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is a premium high-alkaline crankcase lubricant designed for medium-speed railroad diesel engines and similar applications. Formulated with carefully selected mineral base oils and proven zinc-free, chlorine-free additive technology, it provides corrosion protection, reduces sludge formation in locomotive engines, and ultimately helps lower maintenance costs</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AMINOL M14D2 SAE 40 is formulated for lubrication of marine, diesel locomotive, stationary, transport and industrial diesel engines, as well as heavily loaded diesel engines of quarry vehicles and diesel engines of drilling rigs that require oils of group D2.</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Enhanced corrosion resistance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 deposit and wear control</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engine oil efficiency and cost savings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oil drain intervals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g/cm</w:t>
            </w:r>
            <w:r w:rsidDel="00000000" w:rsidR="00000000" w:rsidRPr="00000000">
              <w:rPr>
                <w:rFonts w:ascii="Arial" w:cs="Arial" w:eastAsia="Arial" w:hAnsi="Arial"/>
                <w:color w:val="000000"/>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0.891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Kinematic Viscosity at </w:t>
            </w:r>
            <w:r w:rsidDel="00000000" w:rsidR="00000000" w:rsidRPr="00000000">
              <w:rPr>
                <w:rFonts w:ascii="Arial" w:cs="Arial" w:eastAsia="Arial" w:hAnsi="Arial"/>
                <w:sz w:val="20"/>
                <w:szCs w:val="20"/>
                <w:rtl w:val="0"/>
              </w:rPr>
              <w:t xml:space="preserve">100</w:t>
            </w: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mm</w:t>
            </w:r>
            <w:r w:rsidDel="00000000" w:rsidR="00000000" w:rsidRPr="00000000">
              <w:rPr>
                <w:rFonts w:ascii="Arial" w:cs="Arial" w:eastAsia="Arial" w:hAnsi="Arial"/>
                <w:color w:val="000000"/>
                <w:sz w:val="20"/>
                <w:szCs w:val="20"/>
                <w:vertAlign w:val="superscript"/>
                <w:rtl w:val="0"/>
              </w:rPr>
              <w:t xml:space="preserve">2</w:t>
            </w:r>
            <w:r w:rsidDel="00000000" w:rsidR="00000000" w:rsidRPr="00000000">
              <w:rPr>
                <w:rFonts w:ascii="Arial" w:cs="Arial" w:eastAsia="Arial" w:hAnsi="Arial"/>
                <w:color w:val="000000"/>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14.5</w:t>
            </w:r>
            <w:r w:rsidDel="00000000" w:rsidR="00000000" w:rsidRPr="00000000">
              <w:rPr>
                <w:rFonts w:ascii="Arial" w:cs="Arial" w:eastAsia="Arial" w:hAnsi="Arial"/>
                <w:color w:val="000000"/>
                <w:sz w:val="20"/>
                <w:szCs w:val="2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24</w:t>
            </w:r>
            <w:r w:rsidDel="00000000" w:rsidR="00000000" w:rsidRPr="00000000">
              <w:rPr>
                <w:rFonts w:ascii="Arial" w:cs="Arial" w:eastAsia="Arial" w:hAnsi="Arial"/>
                <w:sz w:val="20"/>
                <w:szCs w:val="20"/>
                <w:rtl w:val="0"/>
              </w:rPr>
              <w:t xml:space="preserve">6</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Base Number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mg KOH /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ASTM D2896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13.2</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CF/CF2</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LMOA Generation 5</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 Generation 4 Long Life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3600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5">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0">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2">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AL/LO -P-0001/03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dvYKcKgWO/9MViVAVb/1T5Pgkw==">CgMxLjAyCGguZ2pkZ3hzOAByITEzVDd5SjNjUUNGVFM5bTJaZENTSUtURjA5VU5UaHYxbQ==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2023-09-05T11:24:00Z</dcterms:created>
  <dc:creator>Gismat Abbasov</dc:creator>
</cp:coreProperties>
</file>