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Quench Oil 220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Quench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Quench Oil 220 is a high-quality quenching fluid designed for the heat treatment of ferrous metals across various quenching processes. Crafted to facilitate deep and uniform hardening, this oil minimizes distortion and cracking, ensuring a smooth surface finish.</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Quench Oil 220 is recommended for all normal quenching operations on a wide variety of steel. It can be used in quenching of a variety of high speed tool steel and ball Bearings, Nut, bolts, Bright bars, Tools, Automotive components and industrial components.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Controlled cooling rate to minimize cracking and distortion</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Achieves a good surface finish</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Demonstrates excellent oxidation resistance and thermal stability</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Possesses a high flash point for enhanced fire safety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pPr w:leftFromText="180" w:rightFromText="180" w:topFromText="180" w:bottomFromText="180" w:vertAnchor="text" w:horzAnchor="text" w:tblpX="0" w:tblpY="0"/>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w:t>
            </w:r>
          </w:p>
        </w:tc>
      </w:tr>
    </w:tbl>
    <w:p w:rsidR="00000000" w:rsidDel="00000000" w:rsidP="00000000" w:rsidRDefault="00000000" w:rsidRPr="00000000" w14:paraId="0000003E">
      <w:pPr>
        <w:shd w:fill="ffffff" w:val="clear"/>
        <w:spacing w:after="280" w:before="280" w:line="276" w:lineRule="auto"/>
        <w:jc w:val="both"/>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0">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3448 VG 220</w:t>
      </w:r>
    </w:p>
    <w:p w:rsidR="00000000" w:rsidDel="00000000" w:rsidP="00000000" w:rsidRDefault="00000000" w:rsidRPr="00000000" w14:paraId="00000041">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6743/14 L-UHA/UHB</w:t>
      </w:r>
    </w:p>
    <w:p w:rsidR="00000000" w:rsidDel="00000000" w:rsidP="00000000" w:rsidRDefault="00000000" w:rsidRPr="00000000" w14:paraId="00000042">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3">
      <w:pPr>
        <w:shd w:fill="ffffff" w:val="clear"/>
        <w:spacing w:line="24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4">
      <w:pPr>
        <w:numPr>
          <w:ilvl w:val="0"/>
          <w:numId w:val="1"/>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5">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6">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8">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numPr>
          <w:ilvl w:val="0"/>
          <w:numId w:val="1"/>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A">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C">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D">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4E">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4F">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0">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52">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54">
      <w:pPr>
        <w:numPr>
          <w:ilvl w:val="0"/>
          <w:numId w:val="1"/>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55">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56">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AL/QO-P-0003/01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08Ivtil3uQgcbqQ7Qz3GgA/O/A==">CgMxLjAyCGguZ2pkZ3hzMghoLmdqZGd4czIIaC5namRneHM4AHIhMTU5cXNjMDNndm1sZnRuNTFLSWpYUFJfdlJCbTVCWk56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2023-08-31T11:00:00Z</dcterms:created>
  <dc:creator>Gismat Abbasov</dc:creator>
</cp:coreProperties>
</file>