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T-1500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Transformer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T-1500 is a premium quality highly refined mineral-based transformer oil designed to provide maximum performance and protection for high voltage electrical equipment. It has been formulated with sulfur paraffinic oils using selective hydrogenation and purification processes to deliver excellent electrical insulation properties, superior heat transfer capabilities, and long-term oxidation stability.</w:t>
      </w:r>
    </w:p>
    <w:p w:rsidR="00000000" w:rsidDel="00000000" w:rsidP="00000000" w:rsidRDefault="00000000" w:rsidRPr="00000000" w14:paraId="0000000A">
      <w:pPr>
        <w:shd w:fill="ffffff" w:val="clear"/>
        <w:spacing w:after="0" w:line="360"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T-1500</w:t>
      </w:r>
      <w:r w:rsidDel="00000000" w:rsidR="00000000" w:rsidRPr="00000000">
        <w:rPr>
          <w:rFonts w:ascii="Arial" w:cs="Arial" w:eastAsia="Arial" w:hAnsi="Arial"/>
          <w:color w:val="000000"/>
          <w:rtl w:val="0"/>
        </w:rPr>
        <w:t xml:space="preserve"> Transformer Oil is used as an oil circuit breaker which is used in the transformers; isolators; regulators; as a circuit breaker. The product can be used in all types of oil-filled electrical equipment, including power transformers, distribution transformers and switchgear and control gear.</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oxidation stability for longer service life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dielectric strength for enhanced insulation properties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Low power loss for increased efficiency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heat transfer properties for efficient cooling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moisture resistance for reliable performance in damp conditions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 at -30℃</w:t>
            </w:r>
          </w:p>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 at 20℃</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 at 50℃</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 at 100 ℃</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93</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TAN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974</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Dielectric dissipation factor at 90°С</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IEC 60247</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Dielectric Breakdown Voltage</w:t>
            </w:r>
          </w:p>
          <w:p w:rsidR="00000000" w:rsidDel="00000000" w:rsidP="00000000" w:rsidRDefault="00000000" w:rsidRPr="00000000" w14:paraId="0000004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as delivered</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 after treatment</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kV</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IEC 60156</w:t>
            </w:r>
          </w:p>
        </w:tc>
        <w:tc>
          <w:tcP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0.883</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D3487</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IEC 60296</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148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57370</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JIS C 2300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ГОСТ 982-80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IEC 60296 Ed.4.0, 2012 Class I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EN 61039 ISO-L-NTIO-2960131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1"/>
          <w:color w:val="ff0000"/>
        </w:rPr>
      </w:pPr>
      <w:r w:rsidDel="00000000" w:rsidR="00000000" w:rsidRPr="00000000">
        <w:rPr>
          <w:rFonts w:ascii="Arial" w:cs="Arial" w:eastAsia="Arial" w:hAnsi="Arial"/>
          <w:b w:val="1"/>
          <w:color w:val="ff0000"/>
          <w:rtl w:val="0"/>
        </w:rPr>
        <w:t xml:space="preserve">Siemens TUN 901293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10"/>
          <w:szCs w:val="1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352.5"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0" w:w="4680"/>
            <w:col w:space="0" w:w="4680"/>
          </w:cols>
        </w:sectPr>
      </w:pPr>
      <w:r w:rsidDel="00000000" w:rsidR="00000000" w:rsidRPr="00000000">
        <w:rPr>
          <w:rtl w:val="0"/>
        </w:rPr>
      </w:r>
    </w:p>
    <w:p w:rsidR="00000000" w:rsidDel="00000000" w:rsidP="00000000" w:rsidRDefault="00000000" w:rsidRPr="00000000" w14:paraId="0000006A">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B">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sz w:val="6"/>
          <w:szCs w:val="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z w:val="10"/>
          <w:szCs w:val="10"/>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37998</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AL/TO-P-0001/01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3CxDtfdifIiL0lxBUt4Z3lP0Ig==">CgMxLjAyCGguZ2pkZ3hzOAByITFoTnE0S2tNQzNqSlpqbmRiRHV0SGJ3OVZ5TkIySkNxdA==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2023-08-31T08:06:00Z</dcterms:created>
  <dc:creator>Gismat Abbasov</dc:creator>
</cp:coreProperties>
</file>