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Transmission ТАP-15В 90 GL-3</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Transmission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TAP-15B SAE 90 GL-3 is a mineral oil formulated from a blend of high-viscosity refined hydrocarbons and distillate oil. Its composition ensures dependable performance even under circumstances involving contact stresses of up to 2000 MPa and oil temperatures within a volume reaching up to 130°C. Specifically intended for application in truck transmissions and industrial equipment (such as conveyors, handling devices, and related machinery) for lubricating spur, spiral bevel, and worm gears.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TAP-15B SAE 90 GL-3 monograde gear oil  is used in power transmission and axle drives for cars, highway light and heavy duty trucks, buses, and vans where an API GL-3 is required.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deposit prevention</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Minimal volatility at elevated operational temperatures</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Dependable shield against wear and corrosion</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Strong anti-foam characteristics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C">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D">
      <w:pPr>
        <w:shd w:fill="ffffff" w:val="clear"/>
        <w:spacing w:after="0" w:line="48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E">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GL-3</w:t>
      </w:r>
    </w:p>
    <w:p w:rsidR="00000000" w:rsidDel="00000000" w:rsidP="00000000" w:rsidRDefault="00000000" w:rsidRPr="00000000" w14:paraId="0000003F">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2">
      <w:pPr>
        <w:numPr>
          <w:ilvl w:val="0"/>
          <w:numId w:val="3"/>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3">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4">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6">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7">
      <w:pPr>
        <w:numPr>
          <w:ilvl w:val="0"/>
          <w:numId w:val="3"/>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48">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9">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A">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4B">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4C">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4362450</wp:posOffset>
            </wp:positionH>
            <wp:positionV relativeFrom="paragraph">
              <wp:posOffset>32082</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AL/TF-P-0024/02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756ihmaNyQ1rZ6ovYzST7JVDeg==">CgMxLjAyCGguZ2pkZ3hzOAByITFpenFYYmltY0YxN3dBck12NTc1LUptS2swWF9pNzNjZg==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2023-09-01T06:11:00Z</dcterms:created>
  <dc:creator>Gismat Abbasov</dc:creator>
</cp:coreProperties>
</file>