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5">
      <w:pPr>
        <w:shd w:fill="ffffff" w:val="clear"/>
        <w:spacing w:after="0" w:line="276" w:lineRule="auto"/>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sz w:val="32"/>
          <w:szCs w:val="32"/>
          <w:rtl w:val="0"/>
        </w:rPr>
        <w:t xml:space="preserve">Aminol™ Transmission TSP 15K SAE 90 GL-3</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Transmission oil</w:t>
      </w:r>
      <w:r w:rsidDel="00000000" w:rsidR="00000000" w:rsidRPr="00000000">
        <w:rPr>
          <w:rtl w:val="0"/>
        </w:rPr>
      </w:r>
    </w:p>
    <w:p w:rsidR="00000000" w:rsidDel="00000000" w:rsidP="00000000" w:rsidRDefault="00000000" w:rsidRPr="00000000" w14:paraId="00000007">
      <w:pPr>
        <w:shd w:fill="ffffff" w:val="clea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8">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9">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Product description</w:t>
      </w:r>
    </w:p>
    <w:p w:rsidR="00000000" w:rsidDel="00000000" w:rsidP="00000000" w:rsidRDefault="00000000" w:rsidRPr="00000000" w14:paraId="0000000A">
      <w:pPr>
        <w:shd w:fill="ffffff" w:val="clear"/>
        <w:spacing w:after="0" w:line="276" w:lineRule="auto"/>
        <w:rPr>
          <w:rFonts w:ascii="Arial" w:cs="Arial" w:eastAsia="Arial" w:hAnsi="Arial"/>
        </w:rPr>
      </w:pPr>
      <w:r w:rsidDel="00000000" w:rsidR="00000000" w:rsidRPr="00000000">
        <w:rPr>
          <w:rFonts w:ascii="Arial" w:cs="Arial" w:eastAsia="Arial" w:hAnsi="Arial"/>
          <w:rtl w:val="0"/>
        </w:rPr>
        <w:t xml:space="preserve">Aminol™ TSP-15K SAE 90 GL-3 is a universal year-round gear oil for gearbox and final drive use, prevalent in KAMAZ and other trucks in moderate conditions. Crafted from high-quality base components with special additives, it shields transmission parts from wear, high-temperature deposits, corrosion, and foaming.</w:t>
      </w:r>
    </w:p>
    <w:p w:rsidR="00000000" w:rsidDel="00000000" w:rsidP="00000000" w:rsidRDefault="00000000" w:rsidRPr="00000000" w14:paraId="0000000B">
      <w:pPr>
        <w:shd w:fill="ffffff" w:val="clea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C">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D">
      <w:pPr>
        <w:shd w:fill="ffffff" w:val="clear"/>
        <w:spacing w:after="0" w:line="276" w:lineRule="auto"/>
        <w:jc w:val="both"/>
        <w:rPr>
          <w:rFonts w:ascii="Arial" w:cs="Arial" w:eastAsia="Arial" w:hAnsi="Arial"/>
        </w:rPr>
      </w:pPr>
      <w:r w:rsidDel="00000000" w:rsidR="00000000" w:rsidRPr="00000000">
        <w:rPr>
          <w:rFonts w:ascii="Arial" w:cs="Arial" w:eastAsia="Arial" w:hAnsi="Arial"/>
          <w:rtl w:val="0"/>
        </w:rPr>
        <w:t xml:space="preserve">Aminol™ TSP-15K SAE 90 GL-3 monograde gear oil  is used in power transmission and axle drives for cars, highway light and heavy duty trucks, buses, and vans where an API GL-3 is required.  </w:t>
      </w:r>
    </w:p>
    <w:p w:rsidR="00000000" w:rsidDel="00000000" w:rsidP="00000000" w:rsidRDefault="00000000" w:rsidRPr="00000000" w14:paraId="0000000E">
      <w:pPr>
        <w:shd w:fill="ffffff" w:val="clear"/>
        <w:spacing w:after="0" w:line="276" w:lineRule="auto"/>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F">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0">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11">
      <w:pPr>
        <w:numPr>
          <w:ilvl w:val="0"/>
          <w:numId w:val="4"/>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Essential wear protection for gears and bearings in moderate conditions</w:t>
      </w:r>
    </w:p>
    <w:p w:rsidR="00000000" w:rsidDel="00000000" w:rsidP="00000000" w:rsidRDefault="00000000" w:rsidRPr="00000000" w14:paraId="00000012">
      <w:pPr>
        <w:numPr>
          <w:ilvl w:val="0"/>
          <w:numId w:val="4"/>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Strong anti-foam and anti-corrosion properties</w:t>
      </w:r>
    </w:p>
    <w:p w:rsidR="00000000" w:rsidDel="00000000" w:rsidP="00000000" w:rsidRDefault="00000000" w:rsidRPr="00000000" w14:paraId="00000013">
      <w:pPr>
        <w:numPr>
          <w:ilvl w:val="0"/>
          <w:numId w:val="4"/>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Compatible with all seal materials</w:t>
      </w:r>
    </w:p>
    <w:p w:rsidR="00000000" w:rsidDel="00000000" w:rsidP="00000000" w:rsidRDefault="00000000" w:rsidRPr="00000000" w14:paraId="00000014">
      <w:pPr>
        <w:numPr>
          <w:ilvl w:val="0"/>
          <w:numId w:val="4"/>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Prolongs transmission life, reducing maintenance costs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1">
      <w:pPr>
        <w:shd w:fill="ffffff" w:val="clear"/>
        <w:spacing w:after="0" w:line="36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Typical Properties</w:t>
      </w:r>
    </w:p>
    <w:tbl>
      <w:tblPr>
        <w:tblStyle w:val="Table1"/>
        <w:tblW w:w="10060.0" w:type="dxa"/>
        <w:jc w:val="left"/>
        <w:tblLayout w:type="fixed"/>
        <w:tblLook w:val="0400"/>
      </w:tblPr>
      <w:tblGrid>
        <w:gridCol w:w="3520"/>
        <w:gridCol w:w="2180"/>
        <w:gridCol w:w="2180"/>
        <w:gridCol w:w="2180"/>
        <w:tblGridChange w:id="0">
          <w:tblGrid>
            <w:gridCol w:w="3520"/>
            <w:gridCol w:w="2180"/>
            <w:gridCol w:w="2180"/>
            <w:gridCol w:w="2180"/>
          </w:tblGrid>
        </w:tblGridChange>
      </w:tblGrid>
      <w:tr>
        <w:trPr>
          <w:cantSplit w:val="0"/>
          <w:trHeight w:val="495"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22">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Property</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3">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Unit</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4">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method</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5">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Typical value</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Density at 15°C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g/cm</w:t>
            </w:r>
            <w:r w:rsidDel="00000000" w:rsidR="00000000" w:rsidRPr="00000000">
              <w:rPr>
                <w:rFonts w:ascii="Arial" w:cs="Arial" w:eastAsia="Arial" w:hAnsi="Arial"/>
                <w:sz w:val="20"/>
                <w:szCs w:val="20"/>
                <w:vertAlign w:val="superscript"/>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0.892</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Kinematic Viscosity at 100°C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mm</w:t>
            </w:r>
            <w:r w:rsidDel="00000000" w:rsidR="00000000" w:rsidRPr="00000000">
              <w:rPr>
                <w:rFonts w:ascii="Arial" w:cs="Arial" w:eastAsia="Arial" w:hAnsi="Arial"/>
                <w:sz w:val="20"/>
                <w:szCs w:val="20"/>
                <w:vertAlign w:val="superscript"/>
                <w:rtl w:val="0"/>
              </w:rPr>
              <w:t xml:space="preserve">2</w:t>
            </w:r>
            <w:r w:rsidDel="00000000" w:rsidR="00000000" w:rsidRPr="00000000">
              <w:rPr>
                <w:rFonts w:ascii="Arial" w:cs="Arial" w:eastAsia="Arial" w:hAnsi="Arial"/>
                <w:sz w:val="20"/>
                <w:szCs w:val="20"/>
                <w:rtl w:val="0"/>
              </w:rPr>
              <w:t xml:space="preserv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15.20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Kinematic Viscosity at 40°C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mm</w:t>
            </w:r>
            <w:r w:rsidDel="00000000" w:rsidR="00000000" w:rsidRPr="00000000">
              <w:rPr>
                <w:rFonts w:ascii="Arial" w:cs="Arial" w:eastAsia="Arial" w:hAnsi="Arial"/>
                <w:sz w:val="20"/>
                <w:szCs w:val="20"/>
                <w:vertAlign w:val="superscript"/>
                <w:rtl w:val="0"/>
              </w:rPr>
              <w:t xml:space="preserve">2</w:t>
            </w:r>
            <w:r w:rsidDel="00000000" w:rsidR="00000000" w:rsidRPr="00000000">
              <w:rPr>
                <w:rFonts w:ascii="Arial" w:cs="Arial" w:eastAsia="Arial" w:hAnsi="Arial"/>
                <w:sz w:val="20"/>
                <w:szCs w:val="20"/>
                <w:rtl w:val="0"/>
              </w:rPr>
              <w:t xml:space="preserv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156.5</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98</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248</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-25</w:t>
            </w:r>
          </w:p>
        </w:tc>
      </w:tr>
    </w:tbl>
    <w:p w:rsidR="00000000" w:rsidDel="00000000" w:rsidP="00000000" w:rsidRDefault="00000000" w:rsidRPr="00000000" w14:paraId="0000003E">
      <w:pPr>
        <w:shd w:fill="ffffff" w:val="clear"/>
        <w:spacing w:after="280" w:before="280" w:line="276" w:lineRule="auto"/>
        <w:jc w:val="both"/>
        <w:rPr>
          <w:rFonts w:ascii="Arial" w:cs="Arial" w:eastAsia="Arial" w:hAnsi="Arial"/>
          <w:b w:val="1"/>
          <w:color w:val="c00000"/>
        </w:rPr>
      </w:pPr>
      <w:r w:rsidDel="00000000" w:rsidR="00000000" w:rsidRPr="00000000">
        <w:rPr>
          <w:rFonts w:ascii="Arial" w:cs="Arial" w:eastAsia="Arial" w:hAnsi="Arial"/>
          <w:sz w:val="20"/>
          <w:szCs w:val="20"/>
          <w:rtl w:val="0"/>
        </w:rPr>
        <w:t xml:space="preserve">Typical property characteristics are based on current production. Whilst future production will conform to Aminol</w:t>
      </w:r>
      <w:r w:rsidDel="00000000" w:rsidR="00000000" w:rsidRPr="00000000">
        <w:rPr>
          <w:rFonts w:ascii="Arial" w:cs="Arial" w:eastAsia="Arial" w:hAnsi="Arial"/>
          <w:color w:val="212121"/>
          <w:sz w:val="20"/>
          <w:szCs w:val="20"/>
          <w:highlight w:val="white"/>
          <w:vertAlign w:val="superscript"/>
          <w:rtl w:val="0"/>
        </w:rPr>
        <w:t xml:space="preserve">™</w:t>
      </w:r>
      <w:r w:rsidDel="00000000" w:rsidR="00000000" w:rsidRPr="00000000">
        <w:rPr>
          <w:rFonts w:ascii="Arial" w:cs="Arial" w:eastAsia="Arial" w:hAnsi="Arial"/>
          <w:sz w:val="18"/>
          <w:szCs w:val="18"/>
          <w:vertAlign w:val="superscript"/>
          <w:rtl w:val="0"/>
        </w:rPr>
        <w:t xml:space="preserve"> </w:t>
      </w:r>
      <w:r w:rsidDel="00000000" w:rsidR="00000000" w:rsidRPr="00000000">
        <w:rPr>
          <w:rFonts w:ascii="Arial" w:cs="Arial" w:eastAsia="Arial" w:hAnsi="Arial"/>
          <w:sz w:val="20"/>
          <w:szCs w:val="20"/>
          <w:rtl w:val="0"/>
        </w:rPr>
        <w:t xml:space="preserve">specifications, variations in these characteristics may occur.</w:t>
      </w:r>
      <w:r w:rsidDel="00000000" w:rsidR="00000000" w:rsidRPr="00000000">
        <w:rPr>
          <w:rtl w:val="0"/>
        </w:rPr>
      </w:r>
    </w:p>
    <w:p w:rsidR="00000000" w:rsidDel="00000000" w:rsidP="00000000" w:rsidRDefault="00000000" w:rsidRPr="00000000" w14:paraId="0000003F">
      <w:pPr>
        <w:shd w:fill="ffffff" w:val="clear"/>
        <w:spacing w:after="0" w:line="480" w:lineRule="auto"/>
        <w:rPr>
          <w:rFonts w:ascii="Arial" w:cs="Arial" w:eastAsia="Arial" w:hAnsi="Arial"/>
          <w:b w:val="1"/>
          <w:color w:val="c00000"/>
        </w:rPr>
      </w:pPr>
      <w:bookmarkStart w:colFirst="0" w:colLast="0" w:name="_heading=h.gjdgxs" w:id="0"/>
      <w:bookmarkEnd w:id="0"/>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0">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GL-3</w:t>
      </w:r>
    </w:p>
    <w:p w:rsidR="00000000" w:rsidDel="00000000" w:rsidP="00000000" w:rsidRDefault="00000000" w:rsidRPr="00000000" w14:paraId="00000041">
      <w:pPr>
        <w:shd w:fill="ffffff" w:val="clea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42">
      <w:pPr>
        <w:shd w:fill="ffffff" w:val="clear"/>
        <w:spacing w:after="0" w:line="276"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Health, Safety &amp; Environment</w:t>
      </w:r>
    </w:p>
    <w:p w:rsidR="00000000" w:rsidDel="00000000" w:rsidP="00000000" w:rsidRDefault="00000000" w:rsidRPr="00000000" w14:paraId="00000043">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4">
      <w:pPr>
        <w:numPr>
          <w:ilvl w:val="0"/>
          <w:numId w:val="1"/>
        </w:numPr>
        <w:shd w:fill="ffffff" w:val="clear"/>
        <w:spacing w:after="0" w:line="360" w:lineRule="auto"/>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Health and Safety </w:t>
      </w:r>
    </w:p>
    <w:p w:rsidR="00000000" w:rsidDel="00000000" w:rsidP="00000000" w:rsidRDefault="00000000" w:rsidRPr="00000000" w14:paraId="00000045">
      <w:pPr>
        <w:shd w:fill="ffffff" w:val="clear"/>
        <w:spacing w:after="0" w:line="276" w:lineRule="auto"/>
        <w:ind w:left="426"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46">
      <w:pPr>
        <w:shd w:fill="ffffff" w:val="clear"/>
        <w:spacing w:after="0" w:line="276" w:lineRule="auto"/>
        <w:ind w:left="426"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7">
      <w:pPr>
        <w:shd w:fill="ffffff" w:val="clear"/>
        <w:spacing w:after="0" w:line="276" w:lineRule="auto"/>
        <w:ind w:left="426" w:firstLine="0"/>
        <w:jc w:val="both"/>
        <w:rPr>
          <w:rFonts w:ascii="Arial" w:cs="Arial" w:eastAsia="Arial" w:hAnsi="Arial"/>
          <w:color w:val="0070c0"/>
          <w:sz w:val="20"/>
          <w:szCs w:val="20"/>
          <w:u w:val="single"/>
        </w:rPr>
      </w:pPr>
      <w:r w:rsidDel="00000000" w:rsidR="00000000" w:rsidRPr="00000000">
        <w:rPr>
          <w:rFonts w:ascii="Arial" w:cs="Arial" w:eastAsia="Arial" w:hAnsi="Arial"/>
          <w:sz w:val="20"/>
          <w:szCs w:val="20"/>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color w:val="0563c1"/>
            <w:sz w:val="20"/>
            <w:szCs w:val="20"/>
            <w:u w:val="single"/>
            <w:rtl w:val="0"/>
          </w:rPr>
          <w:t xml:space="preserve">www.aminol.az</w:t>
        </w:r>
      </w:hyperlink>
      <w:r w:rsidDel="00000000" w:rsidR="00000000" w:rsidRPr="00000000">
        <w:rPr>
          <w:rtl w:val="0"/>
        </w:rPr>
      </w:r>
    </w:p>
    <w:p w:rsidR="00000000" w:rsidDel="00000000" w:rsidP="00000000" w:rsidRDefault="00000000" w:rsidRPr="00000000" w14:paraId="00000048">
      <w:pPr>
        <w:shd w:fill="ffffff" w:val="clear"/>
        <w:spacing w:after="0" w:line="276" w:lineRule="auto"/>
        <w:ind w:left="426"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9">
      <w:pPr>
        <w:numPr>
          <w:ilvl w:val="0"/>
          <w:numId w:val="1"/>
        </w:numPr>
        <w:spacing w:after="0" w:line="360" w:lineRule="auto"/>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Protect the Environment </w:t>
      </w:r>
    </w:p>
    <w:p w:rsidR="00000000" w:rsidDel="00000000" w:rsidP="00000000" w:rsidRDefault="00000000" w:rsidRPr="00000000" w14:paraId="0000004A">
      <w:pPr>
        <w:spacing w:after="0" w:line="360" w:lineRule="auto"/>
        <w:ind w:left="426" w:firstLine="0"/>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4B">
      <w:pPr>
        <w:shd w:fill="ffffff" w:val="clear"/>
        <w:spacing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C">
      <w:pPr>
        <w:shd w:fill="ffffff" w:val="clear"/>
        <w:spacing w:line="240" w:lineRule="auto"/>
        <w:rPr>
          <w:rFonts w:ascii="Arial" w:cs="Arial" w:eastAsia="Arial" w:hAnsi="Arial"/>
          <w:b w:val="1"/>
          <w:color w:val="c00000"/>
        </w:rPr>
        <w:sectPr>
          <w:headerReference r:id="rId8" w:type="default"/>
          <w:footerReference r:id="rId9" w:type="default"/>
          <w:pgSz w:h="15840" w:w="12240" w:orient="portrait"/>
          <w:pgMar w:bottom="1418" w:top="1440" w:left="1440" w:right="1440" w:header="708" w:footer="441"/>
          <w:pgNumType w:start="1"/>
        </w:sectPr>
      </w:pPr>
      <w:r w:rsidDel="00000000" w:rsidR="00000000" w:rsidRPr="00000000">
        <w:rPr>
          <w:rFonts w:ascii="Arial" w:cs="Arial" w:eastAsia="Arial" w:hAnsi="Arial"/>
          <w:b w:val="1"/>
          <w:color w:val="c00000"/>
          <w:rtl w:val="0"/>
        </w:rPr>
        <w:t xml:space="preserve">Available pack sizes</w:t>
      </w:r>
    </w:p>
    <w:p w:rsidR="00000000" w:rsidDel="00000000" w:rsidP="00000000" w:rsidRDefault="00000000" w:rsidRPr="00000000" w14:paraId="0000004D">
      <w:pPr>
        <w:numPr>
          <w:ilvl w:val="0"/>
          <w:numId w:val="1"/>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5 L Canister plastic</w:t>
      </w:r>
    </w:p>
    <w:p w:rsidR="00000000" w:rsidDel="00000000" w:rsidP="00000000" w:rsidRDefault="00000000" w:rsidRPr="00000000" w14:paraId="0000004E">
      <w:pPr>
        <w:numPr>
          <w:ilvl w:val="0"/>
          <w:numId w:val="1"/>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 L Canister plastic</w:t>
      </w:r>
    </w:p>
    <w:p w:rsidR="00000000" w:rsidDel="00000000" w:rsidP="00000000" w:rsidRDefault="00000000" w:rsidRPr="00000000" w14:paraId="0000004F">
      <w:pPr>
        <w:numPr>
          <w:ilvl w:val="0"/>
          <w:numId w:val="1"/>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200 L Drum sheet metal</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rFonts w:ascii="Arial" w:cs="Arial" w:eastAsia="Arial" w:hAnsi="Arial"/>
          <w:b w:val="1"/>
          <w:color w:val="c00000"/>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w:t>
      </w:r>
      <w:r w:rsidDel="00000000" w:rsidR="00000000" w:rsidRPr="00000000">
        <w:rPr>
          <w:rFonts w:ascii="Arial" w:cs="Arial" w:eastAsia="Arial" w:hAnsi="Arial"/>
          <w:sz w:val="20"/>
          <w:szCs w:val="20"/>
          <w:rtl w:val="0"/>
        </w:rPr>
        <w:t xml:space="preserve">storing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all packages under cover. </w:t>
      </w:r>
    </w:p>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w:t>
      </w:r>
      <w:r w:rsidDel="00000000" w:rsidR="00000000" w:rsidRPr="00000000">
        <w:rPr>
          <w:rFonts w:ascii="Arial" w:cs="Arial" w:eastAsia="Arial" w:hAnsi="Arial"/>
          <w:sz w:val="20"/>
          <w:szCs w:val="20"/>
          <w:rtl w:val="0"/>
        </w:rPr>
        <w:t xml:space="preserve">unavoidable, drums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57">
      <w:pPr>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8">
      <w:pPr>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9">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5A">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5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9"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1.png"/>
          <a:graphic>
            <a:graphicData uri="http://schemas.openxmlformats.org/drawingml/2006/picture">
              <pic:pic>
                <pic:nvPicPr>
                  <pic:cNvPr descr="Marker" id="0" name="image1.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3.png"/>
          <a:graphic>
            <a:graphicData uri="http://schemas.openxmlformats.org/drawingml/2006/picture">
              <pic:pic>
                <pic:nvPicPr>
                  <pic:cNvPr descr="Open envelope" id="0" name="image3.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20"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AL/TF -P-0023/02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fM9VxtDucle3NhmFUC6k7MRvlg==">CgMxLjAyCGguZ2pkZ3hzOAByITFrYmY4THl1UnpjVTBJVDJ4OHU5MTktaWhMbkRRNXRpWA==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2023-09-01T06:09:00Z</dcterms:created>
  <dc:creator>Gismat Abbasov</dc:creator>
</cp:coreProperties>
</file>