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0W-16 SP</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0W-16 SP, infused with German technology, stands as a high-standard, low-resistance engine lubricant, providing unmatched wear protection, reduced oil and fuel expenses, engine cleanliness preservation, and rapid lubricant circulation. Specifically designed for the latest Asian and American gasoline engines, it emerges as the preferred choice.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cold start performance</w:t>
        <w:br/>
        <w:t>• Fuel-efficient attributes</w:t>
        <w:br/>
        <w:t>• Superb wear protection</w:t>
        <w:br/>
        <w:t>• Exceptional engine cleanliness</w:t>
        <w:br/>
        <w:t>• Optimal aging stability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GF-6B</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Honda</w:t>
        <w:br/>
        <w:t>• Lexus</w:t>
        <w:br/>
        <w:t>• Suzuki</w:t>
        <w:br/>
        <w:t>• Toyota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