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Dieseltec HD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Dieseltec HD 10W-40 CH-4/SJ, enhanced with German engineering expertise, is a premium solution designed to improve the performance of diesel engines operating in demanding on- and off-highway heavy-duty conditions. Manufactured using state-of-the-art technology, it excels across a spectrum of crucial engine care parameters.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EC/EO-0034/03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