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M-14B2 has been engineered for versatile application in both two-stroke and four-stroke domains, including locomotive, marine, and stationary diesel engines. Its formulation is fine-tuned for diesel fuels with a sulfur content not exceeding 0.5%, making it also suitable for engines in mining dump trucks.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Active oxidation resistance</w:t>
        <w:br/>
        <w:t>• Scale prevention</w:t>
        <w:br/>
        <w:t>• Excellent anti-corrosion properties</w:t>
        <w:br/>
        <w:t>• Low evaporation rate</w:t>
        <w:br/>
        <w:t>• Effective cleaning capabilities</w:t>
        <w:br/>
        <w:t>• Significant reduction in engine wear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