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32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Controlled cooling rate to minimize cracking and distortion</w:t>
        <w:br/>
        <w:t>• Achieves a good surface finish</w:t>
        <w:br/>
        <w:t>• Demonstrates excellent oxidation resistance and thermal stability</w:t>
        <w:br/>
        <w:t>• Possesses a high flash point for enhanced fire safety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