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ATF CVT</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Automatic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ATF CVT is an ultra-high-performance fluid engineered with carefully selected synthetic technology base stocks and specially designed for application in the latest generation of Continuously Variable Transmission (CVT) gearboxes, which transmit traction through steel-made traction chains or push-belts. It provides exceptional anti-wear protection and consistent friction characteristics.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Strong thermal and oxidation stability.</w:t>
        <w:br/>
        <w:t>• Extended drain intervals.</w:t>
        <w:br/>
        <w:t>• Outstanding antiwear, antirust, and anticorrosion technology.</w:t>
        <w:br/>
        <w:t xml:space="preserve">• High viscosity index </w:t>
        <w:br/>
        <w:t xml:space="preserve">• Improved foam control </w:t>
        <w:br/>
        <w:t xml:space="preserve">• Enhanced low-temperature fluidity </w:t>
        <w:br/>
        <w:t>• Compatibility with all common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530"/>
        <w:gridCol w:w="1890"/>
        <w:gridCol w:w="2880"/>
      </w:tblGrid>
      <w:tr w:rsidR="00DE1885" w:rsidRPr="00DE1885" w14:paraId="57766528" w14:textId="77777777" w:rsidTr="00DE1885">
        <w:trPr>
          <w:trHeight w:val="49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0CA3471"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Property</w:t>
            </w:r>
          </w:p>
        </w:tc>
        <w:tc>
          <w:tcPr>
            <w:tcW w:w="1530" w:type="dxa"/>
            <w:tcBorders>
              <w:top w:val="single" w:sz="4" w:space="0" w:color="auto"/>
              <w:left w:val="nil"/>
              <w:bottom w:val="single" w:sz="4" w:space="0" w:color="auto"/>
              <w:right w:val="single" w:sz="4" w:space="0" w:color="auto"/>
            </w:tcBorders>
            <w:shd w:val="clear" w:color="000000" w:fill="F2F2F2"/>
            <w:vAlign w:val="center"/>
            <w:hideMark/>
          </w:tcPr>
          <w:p w14:paraId="784ABC2C"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Unit</w:t>
            </w:r>
          </w:p>
        </w:tc>
        <w:tc>
          <w:tcPr>
            <w:tcW w:w="1890" w:type="dxa"/>
            <w:tcBorders>
              <w:top w:val="single" w:sz="4" w:space="0" w:color="auto"/>
              <w:left w:val="nil"/>
              <w:bottom w:val="single" w:sz="4" w:space="0" w:color="auto"/>
              <w:right w:val="single" w:sz="4" w:space="0" w:color="auto"/>
            </w:tcBorders>
            <w:shd w:val="clear" w:color="000000" w:fill="F2F2F2"/>
            <w:vAlign w:val="center"/>
            <w:hideMark/>
          </w:tcPr>
          <w:p w14:paraId="6621DE1E"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Test method</w:t>
            </w:r>
          </w:p>
        </w:tc>
        <w:tc>
          <w:tcPr>
            <w:tcW w:w="2880" w:type="dxa"/>
            <w:tcBorders>
              <w:top w:val="single" w:sz="4" w:space="0" w:color="auto"/>
              <w:left w:val="nil"/>
              <w:bottom w:val="single" w:sz="4" w:space="0" w:color="auto"/>
              <w:right w:val="single" w:sz="4" w:space="0" w:color="auto"/>
            </w:tcBorders>
            <w:shd w:val="clear" w:color="000000" w:fill="F2F2F2"/>
            <w:vAlign w:val="center"/>
            <w:hideMark/>
          </w:tcPr>
          <w:p w14:paraId="3C5301BC"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Typical value</w:t>
            </w:r>
          </w:p>
        </w:tc>
      </w:tr>
      <w:tr w:rsidR="00DE1885" w:rsidRPr="00DE1885" w14:paraId="2E567EE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413A3E4"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Density at 15°C</w:t>
            </w:r>
          </w:p>
        </w:tc>
        <w:tc>
          <w:tcPr>
            <w:tcW w:w="1530" w:type="dxa"/>
            <w:tcBorders>
              <w:top w:val="nil"/>
              <w:left w:val="nil"/>
              <w:bottom w:val="single" w:sz="4" w:space="0" w:color="auto"/>
              <w:right w:val="single" w:sz="4" w:space="0" w:color="auto"/>
            </w:tcBorders>
            <w:shd w:val="clear" w:color="auto" w:fill="auto"/>
            <w:vAlign w:val="center"/>
            <w:hideMark/>
          </w:tcPr>
          <w:p w14:paraId="3083656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g/cm</w:t>
            </w:r>
            <w:r w:rsidRPr="00DE1885">
              <w:rPr>
                <w:rFonts w:ascii="Arial" w:eastAsia="Times New Roman" w:hAnsi="Arial" w:cs="Arial"/>
                <w:color w:val="000000"/>
                <w:sz w:val="20"/>
                <w:szCs w:val="20"/>
                <w:vertAlign w:val="superscript"/>
              </w:rPr>
              <w:t>3</w:t>
            </w:r>
          </w:p>
        </w:tc>
        <w:tc>
          <w:tcPr>
            <w:tcW w:w="1890" w:type="dxa"/>
            <w:tcBorders>
              <w:top w:val="nil"/>
              <w:left w:val="nil"/>
              <w:bottom w:val="single" w:sz="4" w:space="0" w:color="auto"/>
              <w:right w:val="single" w:sz="4" w:space="0" w:color="auto"/>
            </w:tcBorders>
            <w:shd w:val="clear" w:color="auto" w:fill="auto"/>
            <w:vAlign w:val="center"/>
            <w:hideMark/>
          </w:tcPr>
          <w:p w14:paraId="3BD5F8C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D4052</w:t>
            </w:r>
          </w:p>
        </w:tc>
        <w:tc>
          <w:tcPr>
            <w:tcW w:w="2880" w:type="dxa"/>
            <w:tcBorders>
              <w:top w:val="nil"/>
              <w:left w:val="nil"/>
              <w:bottom w:val="single" w:sz="4" w:space="0" w:color="auto"/>
              <w:right w:val="single" w:sz="4" w:space="0" w:color="auto"/>
            </w:tcBorders>
            <w:shd w:val="clear" w:color="auto" w:fill="auto"/>
            <w:vAlign w:val="center"/>
            <w:hideMark/>
          </w:tcPr>
          <w:p w14:paraId="1AB50A3D"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207E905C"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474E6AD5"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Kinematic Viscosity at 40°C</w:t>
            </w:r>
          </w:p>
        </w:tc>
        <w:tc>
          <w:tcPr>
            <w:tcW w:w="1530" w:type="dxa"/>
            <w:tcBorders>
              <w:top w:val="nil"/>
              <w:left w:val="nil"/>
              <w:bottom w:val="single" w:sz="4" w:space="0" w:color="auto"/>
              <w:right w:val="single" w:sz="4" w:space="0" w:color="auto"/>
            </w:tcBorders>
            <w:shd w:val="clear" w:color="auto" w:fill="auto"/>
            <w:vAlign w:val="center"/>
            <w:hideMark/>
          </w:tcPr>
          <w:p w14:paraId="26655934"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mm</w:t>
            </w:r>
            <w:r w:rsidRPr="00DE1885">
              <w:rPr>
                <w:rFonts w:ascii="Arial" w:eastAsia="Times New Roman" w:hAnsi="Arial" w:cs="Arial"/>
                <w:color w:val="000000"/>
                <w:sz w:val="20"/>
                <w:szCs w:val="20"/>
                <w:vertAlign w:val="superscript"/>
              </w:rPr>
              <w:t>2</w:t>
            </w:r>
            <w:r w:rsidRPr="00DE1885">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shd w:val="clear" w:color="auto" w:fill="auto"/>
            <w:vAlign w:val="center"/>
            <w:hideMark/>
          </w:tcPr>
          <w:p w14:paraId="191BE1FB"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shd w:val="clear" w:color="auto" w:fill="auto"/>
            <w:vAlign w:val="center"/>
            <w:hideMark/>
          </w:tcPr>
          <w:p w14:paraId="5DB9159A"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69633E1F"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274E3FA"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Kinematic Viscosity at 100°C</w:t>
            </w:r>
          </w:p>
        </w:tc>
        <w:tc>
          <w:tcPr>
            <w:tcW w:w="1530" w:type="dxa"/>
            <w:tcBorders>
              <w:top w:val="nil"/>
              <w:left w:val="nil"/>
              <w:bottom w:val="single" w:sz="4" w:space="0" w:color="auto"/>
              <w:right w:val="single" w:sz="4" w:space="0" w:color="auto"/>
            </w:tcBorders>
            <w:shd w:val="clear" w:color="auto" w:fill="auto"/>
            <w:vAlign w:val="center"/>
            <w:hideMark/>
          </w:tcPr>
          <w:p w14:paraId="495ABD65"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mm</w:t>
            </w:r>
            <w:r w:rsidRPr="00DE1885">
              <w:rPr>
                <w:rFonts w:ascii="Arial" w:eastAsia="Times New Roman" w:hAnsi="Arial" w:cs="Arial"/>
                <w:color w:val="000000"/>
                <w:sz w:val="20"/>
                <w:szCs w:val="20"/>
                <w:vertAlign w:val="superscript"/>
              </w:rPr>
              <w:t>2</w:t>
            </w:r>
            <w:r w:rsidRPr="00DE1885">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shd w:val="clear" w:color="auto" w:fill="auto"/>
            <w:vAlign w:val="center"/>
            <w:hideMark/>
          </w:tcPr>
          <w:p w14:paraId="3920A1C9"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shd w:val="clear" w:color="auto" w:fill="auto"/>
            <w:vAlign w:val="center"/>
            <w:hideMark/>
          </w:tcPr>
          <w:p w14:paraId="33EB6A8C"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7FA2F367"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1F530D1F"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 xml:space="preserve">Viscosity Index </w:t>
            </w:r>
          </w:p>
        </w:tc>
        <w:tc>
          <w:tcPr>
            <w:tcW w:w="1530" w:type="dxa"/>
            <w:tcBorders>
              <w:top w:val="nil"/>
              <w:left w:val="nil"/>
              <w:bottom w:val="single" w:sz="4" w:space="0" w:color="auto"/>
              <w:right w:val="single" w:sz="4" w:space="0" w:color="auto"/>
            </w:tcBorders>
            <w:shd w:val="clear" w:color="auto" w:fill="auto"/>
            <w:vAlign w:val="center"/>
            <w:hideMark/>
          </w:tcPr>
          <w:p w14:paraId="502B1A4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shd w:val="clear" w:color="auto" w:fill="auto"/>
            <w:vAlign w:val="center"/>
            <w:hideMark/>
          </w:tcPr>
          <w:p w14:paraId="209C029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D2270</w:t>
            </w:r>
          </w:p>
        </w:tc>
        <w:tc>
          <w:tcPr>
            <w:tcW w:w="2880" w:type="dxa"/>
            <w:tcBorders>
              <w:top w:val="nil"/>
              <w:left w:val="nil"/>
              <w:bottom w:val="single" w:sz="4" w:space="0" w:color="auto"/>
              <w:right w:val="single" w:sz="4" w:space="0" w:color="auto"/>
            </w:tcBorders>
            <w:shd w:val="clear" w:color="auto" w:fill="auto"/>
            <w:vAlign w:val="center"/>
            <w:hideMark/>
          </w:tcPr>
          <w:p w14:paraId="1C1C2ACE"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1A78097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2960BD11"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TBN (HclO4)</w:t>
            </w:r>
          </w:p>
        </w:tc>
        <w:tc>
          <w:tcPr>
            <w:tcW w:w="1530" w:type="dxa"/>
            <w:tcBorders>
              <w:top w:val="nil"/>
              <w:left w:val="nil"/>
              <w:bottom w:val="single" w:sz="4" w:space="0" w:color="auto"/>
              <w:right w:val="single" w:sz="4" w:space="0" w:color="auto"/>
            </w:tcBorders>
            <w:shd w:val="clear" w:color="auto" w:fill="auto"/>
            <w:vAlign w:val="center"/>
            <w:hideMark/>
          </w:tcPr>
          <w:p w14:paraId="7F41F86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mg KOH /g</w:t>
            </w:r>
          </w:p>
        </w:tc>
        <w:tc>
          <w:tcPr>
            <w:tcW w:w="1890" w:type="dxa"/>
            <w:tcBorders>
              <w:top w:val="nil"/>
              <w:left w:val="nil"/>
              <w:bottom w:val="single" w:sz="4" w:space="0" w:color="auto"/>
              <w:right w:val="single" w:sz="4" w:space="0" w:color="auto"/>
            </w:tcBorders>
            <w:shd w:val="clear" w:color="auto" w:fill="auto"/>
            <w:vAlign w:val="center"/>
            <w:hideMark/>
          </w:tcPr>
          <w:p w14:paraId="20E2C52F"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D2896</w:t>
            </w:r>
          </w:p>
        </w:tc>
        <w:tc>
          <w:tcPr>
            <w:tcW w:w="2880" w:type="dxa"/>
            <w:tcBorders>
              <w:top w:val="nil"/>
              <w:left w:val="nil"/>
              <w:bottom w:val="single" w:sz="4" w:space="0" w:color="auto"/>
              <w:right w:val="single" w:sz="4" w:space="0" w:color="auto"/>
            </w:tcBorders>
            <w:shd w:val="clear" w:color="auto" w:fill="auto"/>
            <w:vAlign w:val="center"/>
            <w:hideMark/>
          </w:tcPr>
          <w:p w14:paraId="36B36009"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2A0E8A80"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0F1B88"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Sulfated Ash</w:t>
            </w:r>
          </w:p>
        </w:tc>
        <w:tc>
          <w:tcPr>
            <w:tcW w:w="1530" w:type="dxa"/>
            <w:tcBorders>
              <w:top w:val="nil"/>
              <w:left w:val="nil"/>
              <w:bottom w:val="single" w:sz="4" w:space="0" w:color="auto"/>
              <w:right w:val="single" w:sz="4" w:space="0" w:color="auto"/>
            </w:tcBorders>
            <w:shd w:val="clear" w:color="auto" w:fill="auto"/>
            <w:vAlign w:val="center"/>
            <w:hideMark/>
          </w:tcPr>
          <w:p w14:paraId="009FDDF8"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shd w:val="clear" w:color="auto" w:fill="auto"/>
            <w:vAlign w:val="center"/>
            <w:hideMark/>
          </w:tcPr>
          <w:p w14:paraId="101310FE"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D874</w:t>
            </w:r>
          </w:p>
        </w:tc>
        <w:tc>
          <w:tcPr>
            <w:tcW w:w="2880" w:type="dxa"/>
            <w:tcBorders>
              <w:top w:val="nil"/>
              <w:left w:val="nil"/>
              <w:bottom w:val="single" w:sz="4" w:space="0" w:color="auto"/>
              <w:right w:val="single" w:sz="4" w:space="0" w:color="auto"/>
            </w:tcBorders>
            <w:shd w:val="clear" w:color="auto" w:fill="auto"/>
            <w:vAlign w:val="center"/>
            <w:hideMark/>
          </w:tcPr>
          <w:p w14:paraId="467FA5F5"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3A68655A"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E40E3F"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Flash Point (COC)</w:t>
            </w:r>
          </w:p>
        </w:tc>
        <w:tc>
          <w:tcPr>
            <w:tcW w:w="1530" w:type="dxa"/>
            <w:tcBorders>
              <w:top w:val="nil"/>
              <w:left w:val="nil"/>
              <w:bottom w:val="single" w:sz="4" w:space="0" w:color="auto"/>
              <w:right w:val="single" w:sz="4" w:space="0" w:color="auto"/>
            </w:tcBorders>
            <w:shd w:val="clear" w:color="auto" w:fill="auto"/>
            <w:vAlign w:val="center"/>
            <w:hideMark/>
          </w:tcPr>
          <w:p w14:paraId="6A032DC6"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shd w:val="clear" w:color="auto" w:fill="auto"/>
            <w:vAlign w:val="center"/>
            <w:hideMark/>
          </w:tcPr>
          <w:p w14:paraId="16FFE930"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D92</w:t>
            </w:r>
          </w:p>
        </w:tc>
        <w:tc>
          <w:tcPr>
            <w:tcW w:w="2880" w:type="dxa"/>
            <w:tcBorders>
              <w:top w:val="nil"/>
              <w:left w:val="nil"/>
              <w:bottom w:val="single" w:sz="4" w:space="0" w:color="auto"/>
              <w:right w:val="single" w:sz="4" w:space="0" w:color="auto"/>
            </w:tcBorders>
            <w:shd w:val="clear" w:color="auto" w:fill="auto"/>
            <w:vAlign w:val="center"/>
            <w:hideMark/>
          </w:tcPr>
          <w:p w14:paraId="72A18B4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63AF22E0"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20509A2"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 xml:space="preserve">Pour Point </w:t>
            </w:r>
          </w:p>
        </w:tc>
        <w:tc>
          <w:tcPr>
            <w:tcW w:w="1530" w:type="dxa"/>
            <w:tcBorders>
              <w:top w:val="nil"/>
              <w:left w:val="nil"/>
              <w:bottom w:val="single" w:sz="4" w:space="0" w:color="auto"/>
              <w:right w:val="single" w:sz="4" w:space="0" w:color="auto"/>
            </w:tcBorders>
            <w:shd w:val="clear" w:color="auto" w:fill="auto"/>
            <w:vAlign w:val="center"/>
            <w:hideMark/>
          </w:tcPr>
          <w:p w14:paraId="264F60D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shd w:val="clear" w:color="auto" w:fill="auto"/>
            <w:vAlign w:val="center"/>
            <w:hideMark/>
          </w:tcPr>
          <w:p w14:paraId="4E423161"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D97</w:t>
            </w:r>
          </w:p>
        </w:tc>
        <w:tc>
          <w:tcPr>
            <w:tcW w:w="2880" w:type="dxa"/>
            <w:tcBorders>
              <w:top w:val="nil"/>
              <w:left w:val="nil"/>
              <w:bottom w:val="single" w:sz="4" w:space="0" w:color="auto"/>
              <w:right w:val="single" w:sz="4" w:space="0" w:color="auto"/>
            </w:tcBorders>
            <w:shd w:val="clear" w:color="auto" w:fill="auto"/>
            <w:vAlign w:val="center"/>
            <w:hideMark/>
          </w:tcPr>
          <w:p w14:paraId="5C6D2EF4"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1DB9B7E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0D9DC37"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Brookfield viscosity at -40°C</w:t>
            </w:r>
          </w:p>
        </w:tc>
        <w:tc>
          <w:tcPr>
            <w:tcW w:w="1530" w:type="dxa"/>
            <w:tcBorders>
              <w:top w:val="nil"/>
              <w:left w:val="nil"/>
              <w:bottom w:val="single" w:sz="4" w:space="0" w:color="auto"/>
              <w:right w:val="single" w:sz="4" w:space="0" w:color="auto"/>
            </w:tcBorders>
            <w:shd w:val="clear" w:color="auto" w:fill="auto"/>
            <w:noWrap/>
            <w:vAlign w:val="center"/>
            <w:hideMark/>
          </w:tcPr>
          <w:p w14:paraId="50E218F3" w14:textId="77777777" w:rsidR="00DE1885" w:rsidRPr="00DE1885" w:rsidRDefault="00DE1885" w:rsidP="00DE1885">
            <w:pPr>
              <w:spacing w:after="0" w:line="240" w:lineRule="auto"/>
              <w:jc w:val="center"/>
              <w:rPr>
                <w:rFonts w:ascii="Calibri" w:eastAsia="Times New Roman" w:hAnsi="Calibri" w:cs="Calibri"/>
                <w:color w:val="000000"/>
              </w:rPr>
            </w:pPr>
            <w:r w:rsidRPr="00DE1885">
              <w:rPr>
                <w:rFonts w:ascii="Calibri" w:eastAsia="Times New Roman" w:hAnsi="Calibri" w:cs="Calibri"/>
                <w:color w:val="000000"/>
              </w:rPr>
              <w:t>cP</w:t>
            </w:r>
          </w:p>
        </w:tc>
        <w:tc>
          <w:tcPr>
            <w:tcW w:w="1890" w:type="dxa"/>
            <w:tcBorders>
              <w:top w:val="nil"/>
              <w:left w:val="nil"/>
              <w:bottom w:val="single" w:sz="4" w:space="0" w:color="auto"/>
              <w:right w:val="single" w:sz="4" w:space="0" w:color="auto"/>
            </w:tcBorders>
            <w:shd w:val="clear" w:color="auto" w:fill="auto"/>
            <w:noWrap/>
            <w:vAlign w:val="center"/>
            <w:hideMark/>
          </w:tcPr>
          <w:p w14:paraId="0CE3FC7F" w14:textId="77777777" w:rsidR="00DE1885" w:rsidRPr="00DE1885" w:rsidRDefault="00DE1885" w:rsidP="00DE1885">
            <w:pPr>
              <w:spacing w:after="0" w:line="240" w:lineRule="auto"/>
              <w:jc w:val="center"/>
              <w:rPr>
                <w:rFonts w:ascii="Calibri" w:eastAsia="Times New Roman" w:hAnsi="Calibri" w:cs="Calibri"/>
                <w:color w:val="000000"/>
              </w:rPr>
            </w:pPr>
            <w:r w:rsidRPr="00DE1885">
              <w:rPr>
                <w:rFonts w:ascii="Calibri" w:eastAsia="Times New Roman" w:hAnsi="Calibri" w:cs="Calibri"/>
                <w:color w:val="000000"/>
              </w:rPr>
              <w:t>ASTM D2983</w:t>
            </w:r>
          </w:p>
        </w:tc>
        <w:tc>
          <w:tcPr>
            <w:tcW w:w="2880" w:type="dxa"/>
            <w:tcBorders>
              <w:top w:val="nil"/>
              <w:left w:val="nil"/>
              <w:bottom w:val="single" w:sz="4" w:space="0" w:color="auto"/>
              <w:right w:val="single" w:sz="4" w:space="0" w:color="auto"/>
            </w:tcBorders>
            <w:shd w:val="clear" w:color="auto" w:fill="auto"/>
            <w:noWrap/>
            <w:vAlign w:val="bottom"/>
            <w:hideMark/>
          </w:tcPr>
          <w:p w14:paraId="215A3BED" w14:textId="77777777" w:rsidR="00DE1885" w:rsidRPr="00DE1885" w:rsidRDefault="00DE1885" w:rsidP="00DE1885">
            <w:pPr>
              <w:spacing w:after="0" w:line="240" w:lineRule="auto"/>
              <w:rPr>
                <w:rFonts w:ascii="Calibri" w:eastAsia="Times New Roman" w:hAnsi="Calibri" w:cs="Calibri"/>
                <w:color w:val="000000"/>
              </w:rPr>
            </w:pPr>
            <w:r w:rsidRPr="00DE188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VW TL 52 180 (G 052 180)/TL 52 516 (G052 516)</w:t>
        <w:br/>
        <w:t>• BMW EZL799/EZL799A/8322 0 136 376/8322 0 429 154</w:t>
        <w:br/>
        <w:t>• Daihatsu Ammix CVTF-DC/-DFE/-DFC/-TC</w:t>
        <w:br/>
        <w:t>• Dodge/Jeep NS-2/CVTF+4/MOPAR CVT 4</w:t>
        <w:br/>
        <w:t>• Ford CFT23/WSS-M2C928-A/CFT30/WSS-M2C933-A/Motorcraft XT-7-QCFT/MERCON C</w:t>
        <w:br/>
        <w:t>• GM/SATURN DEX-CVT/CVTF I-Green2</w:t>
        <w:br/>
        <w:t>• Honda HMMF/HCF-2</w:t>
        <w:br/>
        <w:t>• Hyundai/Kia SP-CVT 1</w:t>
        <w:br/>
        <w:t>• Mazda CVTF 3320</w:t>
        <w:br/>
        <w:t>• MB CVT 28/236.20</w:t>
        <w:br/>
        <w:t>• Mini EZL799/EZL799A/ZF CVT V1</w:t>
        <w:br/>
        <w:t>• Mitsubishi DiaQueen CVT Fluid J1/J4/J4+/SP-III (nur/only CVT)</w:t>
        <w:br/>
        <w:t>• Nissan NS-1/-2/-3</w:t>
        <w:br/>
        <w:t>• Punch EZL 799/EZL 799A</w:t>
        <w:br/>
        <w:t>• Renault ELFMATIC CVT</w:t>
        <w:br/>
        <w:t>• Toyota/Lexus CVT TC/FE</w:t>
        <w:br/>
        <w:t>• Subaru NS-2/Lineatronic CVTF/CVT II/High Torque (HT) CVT/i-CVTF/K0425Y 0710/CV-30/e-CVTF</w:t>
        <w:br/>
        <w:t>• Suzuki CVTF 3320/TC/NS-2/CVTF Green-1/-2</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4E252" w14:textId="77777777" w:rsidR="001442CD" w:rsidRDefault="001442CD" w:rsidP="00314087">
      <w:pPr>
        <w:spacing w:after="0" w:line="240" w:lineRule="auto"/>
      </w:pPr>
      <w:r>
        <w:separator/>
      </w:r>
    </w:p>
  </w:endnote>
  <w:endnote w:type="continuationSeparator" w:id="0">
    <w:p w14:paraId="04736AE3" w14:textId="77777777" w:rsidR="001442CD" w:rsidRDefault="001442C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15F42" w14:textId="77777777" w:rsidR="001442CD" w:rsidRDefault="001442CD" w:rsidP="00314087">
      <w:pPr>
        <w:spacing w:after="0" w:line="240" w:lineRule="auto"/>
      </w:pPr>
      <w:r>
        <w:separator/>
      </w:r>
    </w:p>
  </w:footnote>
  <w:footnote w:type="continuationSeparator" w:id="0">
    <w:p w14:paraId="7A693A0A" w14:textId="77777777" w:rsidR="001442CD" w:rsidRDefault="001442C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TL/TF-0008/03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442C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DE1885"/>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3384">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1607</TotalTime>
  <Pages>3</Pages>
  <Words>451</Words>
  <Characters>2576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2023-09-20T14:04:00Z</dcterms:modified>
</cp:coreProperties>
</file>