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T-IV</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T-IV is a versatile automatic transmission fluid specifically designed to surpass the service fill demands of all TOYOTA and LEXUS vehicles equipped with AISIN WARNER gearboxes, which necessitate the use of ATF T-IV fluid. Its exceptional attributes ensure quiet and smooth gear shifts, while also facilitating efficient transmission power, even during challenging driving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shift performance and improved vehicle driveability</w:t>
        <w:br/>
        <w:t>• Exceptionally low temperature fluidity</w:t>
        <w:br/>
        <w:t>• Superior wear protection, better shear stability, and resistance to oxidation</w:t>
        <w:br/>
        <w:t>• Reduced deposits and prevention of harmful acid formation</w:t>
        <w:br/>
        <w:t>• Optimized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Ford Pre-2005</w:t>
        <w:br/>
        <w:t>• GM Dexron IID/IIE/IIIG /IIIH</w:t>
        <w:br/>
        <w:t>• Honda ATF Z1</w:t>
        <w:br/>
        <w:t>• JASO M3151A/M3151A-LV13</w:t>
        <w:br/>
        <w:t>• Mitsubishi SP II/SP III</w:t>
        <w:br/>
        <w:t>• Chrysler ATF +3/+4</w:t>
        <w:br/>
        <w:t>• Nissan Matic C/D/J</w:t>
        <w:br/>
        <w:t>• GM Dexron TASA</w:t>
        <w:br/>
        <w:t>• Toyota T-II/T-III/T-IV</w:t>
        <w:br/>
        <w:t>• ZF TE-ML 09/11A/11B</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