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0W-30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0W-30 SL/CF, crafted with German precision, this premier low-viscosity, fuel economy motor oil blends high-grade base stocks with a distinctive additive combination, promising the pinnacle of protection for contemporary gasoline and diesel engines. Its refined composition assures a supreme oil film consistency, preserving peak engine efficiency even in the harshest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Highly effective dispersant and detergent properties</w:t>
        <w:br/>
        <w:t>• Superior cold weather performance for smooth cold starts</w:t>
        <w:br/>
        <w:t>• Outstanding protection against wear, corrosion, and foam</w:t>
        <w:br/>
        <w:t>• Suitable for extreme and severe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br/>
        <w:t>• ACEA A3/B4-21</w:t>
        <w:br/>
        <w:t>• VW 502.00/505.00</w:t>
        <w:br/>
        <w:t>• MB-229.5</w:t>
        <w:br/>
        <w:t>• Volvo VCC 952000356</w:t>
        <w:br/>
        <w:t>• Renault RN 0700/0710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TL/EO-0050/01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