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CI-4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CI-4, designed with German engineering expertise, this elevated-performance engine oil leverages synthetic methodologies. Tailored for diesel engines in both light and hefty commercial vehicles, irrespective of turbocharger presence, it aligns seamlessly with Euro-IV and Euro-V emission standards. Incorporating meticulously chosen base oils and a multifaceted additive formula, it promises exceptional fluidity and optimal lubrication attributes.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Impressive high-temperature stability</w:t>
        <w:br/>
        <w:t>• Outstanding detergent and dispersant properties</w:t>
        <w:br/>
        <w:t>• Fuel-efficient operation</w:t>
        <w:br/>
        <w:t>• Superb cold start performance</w:t>
        <w:br/>
        <w:t>• Rapid engine lubrication even in low temperatures</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w:t>
        <w:br/>
        <w:t>• ACEA E6/E7/E8/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