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CK-4/CJ-4, stands as a first-rate diesel engine lubricant focused on boosting engine lifespan and facilitating prolonged drain intervals, developed by German technology, This oil is perfectly tailored for modern diesel engines, even those operating in demanding environments. It's adept for a spectrum of robust applications, both on-road and off-road, especially engines that undergo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