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F-4/SG, incorporated with German technological insights, stands as a superior-performance engine oil committed to safeguarding bothnaturally aspirated and turbo charged diesel engines in a broad spectrum of service settings. It aligns with the stipulations of the API CF-4, CF, and SG performance group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